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4" w:rsidRDefault="00FF6BB7" w:rsidP="00DE1265">
      <w:pPr>
        <w:spacing w:after="0"/>
        <w:rPr>
          <w:b/>
        </w:rPr>
      </w:pPr>
      <w:r w:rsidRPr="00DE1265">
        <w:rPr>
          <w:b/>
        </w:rPr>
        <w:t>Briefing Paper for</w:t>
      </w:r>
      <w:r w:rsidR="008A53AC">
        <w:rPr>
          <w:b/>
        </w:rPr>
        <w:t xml:space="preserve"> Chorley 3 Tier Forum</w:t>
      </w:r>
    </w:p>
    <w:p w:rsidR="00572A38" w:rsidRPr="00DE1265" w:rsidRDefault="00572A38" w:rsidP="00DE1265">
      <w:pPr>
        <w:spacing w:after="0"/>
        <w:rPr>
          <w:b/>
        </w:rPr>
      </w:pPr>
      <w:r>
        <w:rPr>
          <w:b/>
        </w:rPr>
        <w:t>18</w:t>
      </w:r>
      <w:r w:rsidRPr="00572A38">
        <w:rPr>
          <w:b/>
          <w:vertAlign w:val="superscript"/>
        </w:rPr>
        <w:t>th</w:t>
      </w:r>
      <w:r>
        <w:rPr>
          <w:b/>
        </w:rPr>
        <w:t xml:space="preserve"> November 2013</w:t>
      </w:r>
    </w:p>
    <w:p w:rsidR="00DE1265" w:rsidRDefault="00DE1265" w:rsidP="00DE1265">
      <w:pPr>
        <w:spacing w:after="0"/>
        <w:rPr>
          <w:b/>
        </w:rPr>
      </w:pPr>
    </w:p>
    <w:p w:rsidR="00FF6BB7" w:rsidRDefault="00FF6BB7" w:rsidP="00DE1265">
      <w:pPr>
        <w:spacing w:after="0"/>
        <w:rPr>
          <w:b/>
        </w:rPr>
      </w:pPr>
      <w:r w:rsidRPr="00DE1265">
        <w:rPr>
          <w:b/>
        </w:rPr>
        <w:t>The County Council's Financial Strategy 2014/15 – 2017/18</w:t>
      </w:r>
    </w:p>
    <w:p w:rsidR="00DE1265" w:rsidRPr="00DE1265" w:rsidRDefault="00DE1265" w:rsidP="00DE1265">
      <w:pPr>
        <w:spacing w:after="0"/>
        <w:rPr>
          <w:b/>
        </w:rPr>
      </w:pPr>
    </w:p>
    <w:p w:rsidR="00FF6BB7" w:rsidRPr="00FF6BB7" w:rsidRDefault="00FF6BB7" w:rsidP="00FF6BB7">
      <w:pPr>
        <w:pStyle w:val="ListParagraph"/>
        <w:numPr>
          <w:ilvl w:val="0"/>
          <w:numId w:val="1"/>
        </w:numPr>
        <w:rPr>
          <w:b/>
          <w:szCs w:val="24"/>
        </w:rPr>
      </w:pPr>
      <w:r>
        <w:rPr>
          <w:b/>
          <w:szCs w:val="24"/>
        </w:rPr>
        <w:t>Introduction</w:t>
      </w:r>
    </w:p>
    <w:p w:rsidR="00FF6BB7" w:rsidRDefault="00FF6BB7" w:rsidP="00DE1265">
      <w:pPr>
        <w:spacing w:after="0"/>
        <w:rPr>
          <w:szCs w:val="24"/>
        </w:rPr>
      </w:pPr>
      <w:r>
        <w:rPr>
          <w:szCs w:val="24"/>
        </w:rPr>
        <w:t xml:space="preserve">This briefing paper sets out for the Three Tier </w:t>
      </w:r>
      <w:r w:rsidR="008A53AC">
        <w:rPr>
          <w:szCs w:val="24"/>
        </w:rPr>
        <w:t>F</w:t>
      </w:r>
      <w:r w:rsidR="00354FE2">
        <w:rPr>
          <w:szCs w:val="24"/>
        </w:rPr>
        <w:t xml:space="preserve">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DE1265" w:rsidRDefault="00DE1265" w:rsidP="00DE1265">
      <w:pPr>
        <w:spacing w:after="0"/>
        <w:rPr>
          <w:szCs w:val="24"/>
        </w:rPr>
      </w:pPr>
    </w:p>
    <w:p w:rsidR="00FF6BB7" w:rsidRDefault="00FF6BB7" w:rsidP="00DE1265">
      <w:pPr>
        <w:spacing w:after="0"/>
        <w:rPr>
          <w:szCs w:val="24"/>
        </w:rPr>
      </w:pPr>
      <w:r>
        <w:rPr>
          <w:szCs w:val="24"/>
        </w:rPr>
        <w:t xml:space="preserve">The purpose of the discussion at the Three Tier </w:t>
      </w:r>
      <w:r w:rsidR="008A53AC">
        <w:rPr>
          <w:szCs w:val="24"/>
        </w:rPr>
        <w:t>F</w:t>
      </w:r>
      <w:r>
        <w:rPr>
          <w:szCs w:val="24"/>
        </w:rPr>
        <w:t>orum meetings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DE1265" w:rsidRDefault="00DE1265" w:rsidP="00DE1265">
      <w:pPr>
        <w:spacing w:after="0"/>
        <w:rPr>
          <w:szCs w:val="24"/>
        </w:rPr>
      </w:pPr>
    </w:p>
    <w:p w:rsidR="00FF6BB7" w:rsidRPr="00804047" w:rsidRDefault="00804047" w:rsidP="00804047">
      <w:pPr>
        <w:pStyle w:val="ListParagraph"/>
        <w:numPr>
          <w:ilvl w:val="0"/>
          <w:numId w:val="1"/>
        </w:numPr>
        <w:rPr>
          <w:b/>
          <w:szCs w:val="24"/>
        </w:rPr>
      </w:pPr>
      <w:r>
        <w:rPr>
          <w:b/>
          <w:szCs w:val="24"/>
        </w:rPr>
        <w:t xml:space="preserve">The Financial </w:t>
      </w:r>
      <w:r w:rsidR="00354FE2">
        <w:rPr>
          <w:b/>
          <w:szCs w:val="24"/>
        </w:rPr>
        <w:t>Context</w:t>
      </w:r>
    </w:p>
    <w:p w:rsidR="00354FE2" w:rsidRDefault="00354FE2" w:rsidP="00354FE2">
      <w:pPr>
        <w:pStyle w:val="Body1"/>
        <w:rPr>
          <w:rFonts w:ascii="Arial" w:hAnsi="Arial" w:cs="Arial"/>
        </w:rPr>
      </w:pPr>
      <w:r>
        <w:t xml:space="preserve">Over the next four years, the County Council is faced with making savings of £300m, equivalent to 38% of its current budget. </w:t>
      </w: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354FE2" w:rsidRDefault="00354FE2" w:rsidP="00354FE2">
      <w:pPr>
        <w:pStyle w:val="Body1"/>
        <w:rPr>
          <w:rFonts w:ascii="Arial" w:hAnsi="Arial" w:cs="Arial"/>
        </w:rPr>
      </w:pPr>
    </w:p>
    <w:p w:rsidR="00354FE2" w:rsidRDefault="00354FE2" w:rsidP="00DE1265">
      <w:pPr>
        <w:spacing w:after="0"/>
        <w:jc w:val="both"/>
        <w:rPr>
          <w:rFonts w:cs="Arial"/>
        </w:rPr>
      </w:pPr>
      <w:r>
        <w:rPr>
          <w:rFonts w:cs="Arial"/>
        </w:rPr>
        <w:t xml:space="preserve">At a reduction of almost 40%, the challenge facing the County Council is unprecedented. </w:t>
      </w:r>
    </w:p>
    <w:p w:rsidR="00DE1265" w:rsidRDefault="00DE1265" w:rsidP="00DE1265">
      <w:pPr>
        <w:spacing w:after="0"/>
        <w:jc w:val="both"/>
      </w:pPr>
    </w:p>
    <w:p w:rsidR="00354FE2" w:rsidRDefault="00354FE2" w:rsidP="00DE1265">
      <w:pPr>
        <w:spacing w:after="0"/>
        <w:jc w:val="both"/>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£2</w:t>
      </w:r>
      <w:r>
        <w:t>17</w:t>
      </w:r>
      <w:r w:rsidRPr="002F79E3">
        <w:t xml:space="preserve">m </w:t>
      </w:r>
      <w:r>
        <w:t>over its current three year budget. The government has also stated that local government could expect to see the same level of reduction in resources over the next spending review period.</w:t>
      </w:r>
    </w:p>
    <w:p w:rsidR="00DE1265" w:rsidRDefault="00DE1265" w:rsidP="00DE1265">
      <w:pPr>
        <w:spacing w:after="0"/>
        <w:jc w:val="both"/>
      </w:pPr>
    </w:p>
    <w:p w:rsidR="00354FE2" w:rsidRDefault="00354FE2" w:rsidP="00DE1265">
      <w:pPr>
        <w:spacing w:after="0"/>
        <w:jc w:val="both"/>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p>
    <w:p w:rsidR="00354FE2" w:rsidRPr="00804047" w:rsidRDefault="00354FE2" w:rsidP="00354FE2">
      <w:pPr>
        <w:pStyle w:val="ListParagraph"/>
        <w:numPr>
          <w:ilvl w:val="0"/>
          <w:numId w:val="1"/>
        </w:numPr>
        <w:rPr>
          <w:b/>
          <w:szCs w:val="24"/>
        </w:rPr>
      </w:pPr>
      <w:r>
        <w:rPr>
          <w:b/>
          <w:szCs w:val="24"/>
        </w:rPr>
        <w:lastRenderedPageBreak/>
        <w:t>The Scale of the Financial Challenge</w:t>
      </w:r>
    </w:p>
    <w:p w:rsidR="00804047" w:rsidRDefault="00804047" w:rsidP="00DE1265">
      <w:pPr>
        <w:spacing w:after="0"/>
        <w:jc w:val="both"/>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p>
    <w:p w:rsidR="00DE1265" w:rsidRDefault="00804047" w:rsidP="00DE1265">
      <w:pPr>
        <w:spacing w:after="0"/>
        <w:jc w:val="both"/>
      </w:pPr>
      <w:r>
        <w:t xml:space="preserve">The table below summarises the position </w:t>
      </w:r>
      <w:r w:rsidR="00354FE2">
        <w:t>facing the County Council</w:t>
      </w:r>
      <w:r>
        <w:t>, and shows that over the next four years the County Council is facing:</w:t>
      </w:r>
    </w:p>
    <w:p w:rsidR="00DE1265" w:rsidRDefault="00DE1265" w:rsidP="00DE1265">
      <w:pPr>
        <w:spacing w:after="0"/>
        <w:jc w:val="both"/>
      </w:pPr>
    </w:p>
    <w:p w:rsidR="00DE1265" w:rsidRDefault="00DE1265" w:rsidP="00DE1265">
      <w:pPr>
        <w:pStyle w:val="ListParagraph"/>
        <w:numPr>
          <w:ilvl w:val="0"/>
          <w:numId w:val="7"/>
        </w:numPr>
        <w:spacing w:after="0"/>
        <w:jc w:val="both"/>
      </w:pPr>
      <w:r>
        <w:t xml:space="preserve">an increase in costs over this four year period of 21%, or £165m </w:t>
      </w:r>
    </w:p>
    <w:p w:rsidR="00DE1265" w:rsidRDefault="00DE1265" w:rsidP="00DE1265">
      <w:pPr>
        <w:pStyle w:val="ListParagraph"/>
        <w:numPr>
          <w:ilvl w:val="0"/>
          <w:numId w:val="7"/>
        </w:numPr>
        <w:spacing w:after="0"/>
        <w:jc w:val="both"/>
      </w:pPr>
      <w:proofErr w:type="gramStart"/>
      <w:r>
        <w:t>a</w:t>
      </w:r>
      <w:proofErr w:type="gramEnd"/>
      <w:r>
        <w:t xml:space="preserve"> reduction in resources of 17%, or £134m.</w:t>
      </w:r>
    </w:p>
    <w:p w:rsidR="00DE1265" w:rsidRDefault="00DE1265" w:rsidP="00DE1265">
      <w:pPr>
        <w:ind w:left="720"/>
        <w:jc w:val="both"/>
      </w:pPr>
    </w:p>
    <w:p w:rsidR="00804047" w:rsidRDefault="00804047" w:rsidP="00804047">
      <w:pPr>
        <w:rPr>
          <w:i/>
        </w:rPr>
      </w:pPr>
      <w:r>
        <w:rPr>
          <w:i/>
        </w:rPr>
        <w:t>2.1</w:t>
      </w:r>
      <w:r>
        <w:rPr>
          <w:i/>
        </w:rPr>
        <w:tab/>
        <w:t>Forecast Increases in the County Council's Costs</w:t>
      </w:r>
    </w:p>
    <w:tbl>
      <w:tblPr>
        <w:tblStyle w:val="TableGrid"/>
        <w:tblW w:w="0" w:type="auto"/>
        <w:tblInd w:w="-34" w:type="dxa"/>
        <w:tblLook w:val="04A0" w:firstRow="1" w:lastRow="0" w:firstColumn="1" w:lastColumn="0" w:noHBand="0" w:noVBand="1"/>
      </w:tblPr>
      <w:tblGrid>
        <w:gridCol w:w="7939"/>
        <w:gridCol w:w="1275"/>
      </w:tblGrid>
      <w:tr w:rsidR="00804047" w:rsidTr="00804047">
        <w:trPr>
          <w:trHeight w:val="365"/>
          <w:tblHeader/>
        </w:trPr>
        <w:tc>
          <w:tcPr>
            <w:tcW w:w="7939" w:type="dxa"/>
            <w:tcBorders>
              <w:bottom w:val="single" w:sz="4" w:space="0" w:color="auto"/>
            </w:tcBorders>
          </w:tcPr>
          <w:p w:rsidR="00804047" w:rsidRPr="00402C36" w:rsidRDefault="00804047" w:rsidP="00804047">
            <w:pPr>
              <w:rPr>
                <w:b/>
                <w:sz w:val="22"/>
                <w:szCs w:val="22"/>
              </w:rPr>
            </w:pPr>
          </w:p>
        </w:tc>
        <w:tc>
          <w:tcPr>
            <w:tcW w:w="1275"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804047">
            <w:pPr>
              <w:rPr>
                <w:b/>
                <w:i/>
                <w:sz w:val="22"/>
                <w:szCs w:val="22"/>
              </w:rPr>
            </w:pPr>
            <w:r w:rsidRPr="00F56066">
              <w:rPr>
                <w:b/>
                <w:i/>
                <w:sz w:val="22"/>
                <w:szCs w:val="22"/>
              </w:rPr>
              <w:t>The starting point – the 2013/14 Revenue Budget</w:t>
            </w:r>
          </w:p>
        </w:tc>
        <w:tc>
          <w:tcPr>
            <w:tcW w:w="1275" w:type="dxa"/>
            <w:tcBorders>
              <w:bottom w:val="nil"/>
            </w:tcBorders>
            <w:vAlign w:val="center"/>
          </w:tcPr>
          <w:p w:rsidR="00804047" w:rsidRPr="00F56066" w:rsidRDefault="00804047" w:rsidP="00804047">
            <w:pPr>
              <w:jc w:val="right"/>
              <w:rPr>
                <w:b/>
                <w:i/>
                <w:sz w:val="22"/>
                <w:szCs w:val="22"/>
              </w:rPr>
            </w:pPr>
            <w:r w:rsidRPr="00F56066">
              <w:rPr>
                <w:b/>
                <w:i/>
                <w:sz w:val="22"/>
                <w:szCs w:val="22"/>
              </w:rPr>
              <w:t>776.34</w:t>
            </w:r>
          </w:p>
        </w:tc>
      </w:tr>
      <w:tr w:rsidR="00804047" w:rsidTr="00804047">
        <w:trPr>
          <w:trHeight w:val="462"/>
        </w:trPr>
        <w:tc>
          <w:tcPr>
            <w:tcW w:w="7939" w:type="dxa"/>
            <w:tcBorders>
              <w:top w:val="nil"/>
              <w:bottom w:val="nil"/>
            </w:tcBorders>
            <w:vAlign w:val="center"/>
          </w:tcPr>
          <w:p w:rsidR="00804047" w:rsidRPr="00F56066" w:rsidRDefault="00804047" w:rsidP="00804047">
            <w:pPr>
              <w:rPr>
                <w:i/>
                <w:sz w:val="22"/>
                <w:szCs w:val="22"/>
              </w:rPr>
            </w:pPr>
            <w:r w:rsidRPr="00F56066">
              <w:rPr>
                <w:i/>
                <w:sz w:val="22"/>
                <w:szCs w:val="22"/>
              </w:rPr>
              <w:t xml:space="preserve">Add : Forecast Changes to Costs </w:t>
            </w:r>
          </w:p>
        </w:tc>
        <w:tc>
          <w:tcPr>
            <w:tcW w:w="1275" w:type="dxa"/>
            <w:tcBorders>
              <w:top w:val="nil"/>
              <w:bottom w:val="nil"/>
            </w:tcBorders>
            <w:vAlign w:val="center"/>
          </w:tcPr>
          <w:p w:rsidR="00804047" w:rsidRPr="00F56066" w:rsidRDefault="00804047" w:rsidP="00804047">
            <w:pPr>
              <w:jc w:val="right"/>
              <w:rPr>
                <w:sz w:val="22"/>
                <w:szCs w:val="22"/>
              </w:rPr>
            </w:pPr>
          </w:p>
        </w:tc>
      </w:tr>
      <w:tr w:rsidR="00804047" w:rsidTr="00804047">
        <w:trPr>
          <w:trHeight w:val="389"/>
        </w:trPr>
        <w:tc>
          <w:tcPr>
            <w:tcW w:w="7939" w:type="dxa"/>
            <w:tcBorders>
              <w:top w:val="nil"/>
            </w:tcBorders>
          </w:tcPr>
          <w:p w:rsidR="00804047" w:rsidRPr="001F1FD5" w:rsidRDefault="00804047" w:rsidP="00804047">
            <w:pPr>
              <w:rPr>
                <w:sz w:val="22"/>
                <w:szCs w:val="22"/>
              </w:rPr>
            </w:pPr>
            <w:r w:rsidRPr="001F1FD5">
              <w:rPr>
                <w:sz w:val="22"/>
                <w:szCs w:val="22"/>
              </w:rPr>
              <w:t>Potential impact of pay awards</w:t>
            </w:r>
          </w:p>
        </w:tc>
        <w:tc>
          <w:tcPr>
            <w:tcW w:w="1275" w:type="dxa"/>
            <w:tcBorders>
              <w:top w:val="nil"/>
            </w:tcBorders>
          </w:tcPr>
          <w:p w:rsidR="00804047" w:rsidRPr="00F56066" w:rsidRDefault="00804047" w:rsidP="00804047">
            <w:pPr>
              <w:jc w:val="right"/>
              <w:rPr>
                <w:sz w:val="22"/>
                <w:szCs w:val="22"/>
              </w:rPr>
            </w:pPr>
            <w:r w:rsidRPr="00F56066">
              <w:rPr>
                <w:sz w:val="22"/>
                <w:szCs w:val="22"/>
              </w:rPr>
              <w:t>18.5</w:t>
            </w:r>
          </w:p>
        </w:tc>
      </w:tr>
      <w:tr w:rsidR="00804047" w:rsidTr="00804047">
        <w:trPr>
          <w:trHeight w:val="536"/>
        </w:trPr>
        <w:tc>
          <w:tcPr>
            <w:tcW w:w="7939" w:type="dxa"/>
          </w:tcPr>
          <w:p w:rsidR="00804047" w:rsidRPr="001F1FD5" w:rsidRDefault="00804047" w:rsidP="00804047">
            <w:pPr>
              <w:rPr>
                <w:sz w:val="22"/>
                <w:szCs w:val="22"/>
              </w:rPr>
            </w:pPr>
            <w:r w:rsidRPr="001F1FD5">
              <w:rPr>
                <w:sz w:val="22"/>
                <w:szCs w:val="22"/>
              </w:rPr>
              <w:t>Potential impact of increased employers contribution as a result of the triennial valuation of the Pension Fund</w:t>
            </w:r>
          </w:p>
        </w:tc>
        <w:tc>
          <w:tcPr>
            <w:tcW w:w="1275" w:type="dxa"/>
          </w:tcPr>
          <w:p w:rsidR="00804047" w:rsidRPr="00F56066" w:rsidRDefault="00804047" w:rsidP="00804047">
            <w:pPr>
              <w:jc w:val="right"/>
              <w:rPr>
                <w:sz w:val="22"/>
                <w:szCs w:val="22"/>
              </w:rPr>
            </w:pPr>
            <w:r w:rsidRPr="00F56066">
              <w:rPr>
                <w:sz w:val="22"/>
                <w:szCs w:val="22"/>
              </w:rPr>
              <w:t>8.4</w:t>
            </w:r>
          </w:p>
        </w:tc>
      </w:tr>
      <w:tr w:rsidR="00804047" w:rsidTr="00804047">
        <w:trPr>
          <w:trHeight w:val="403"/>
        </w:trPr>
        <w:tc>
          <w:tcPr>
            <w:tcW w:w="7939" w:type="dxa"/>
          </w:tcPr>
          <w:p w:rsidR="00804047" w:rsidRPr="001F1FD5" w:rsidRDefault="00804047" w:rsidP="00804047">
            <w:pPr>
              <w:rPr>
                <w:sz w:val="22"/>
                <w:szCs w:val="22"/>
              </w:rPr>
            </w:pPr>
            <w:r w:rsidRPr="001F1FD5">
              <w:rPr>
                <w:sz w:val="22"/>
                <w:szCs w:val="22"/>
              </w:rPr>
              <w:t>Impact of the introduction of the single tier pension</w:t>
            </w:r>
          </w:p>
        </w:tc>
        <w:tc>
          <w:tcPr>
            <w:tcW w:w="1275" w:type="dxa"/>
          </w:tcPr>
          <w:p w:rsidR="00804047" w:rsidRPr="00F56066" w:rsidRDefault="00804047" w:rsidP="00804047">
            <w:pPr>
              <w:jc w:val="right"/>
              <w:rPr>
                <w:sz w:val="22"/>
                <w:szCs w:val="22"/>
              </w:rPr>
            </w:pPr>
            <w:r w:rsidRPr="00F56066">
              <w:rPr>
                <w:sz w:val="22"/>
                <w:szCs w:val="22"/>
              </w:rPr>
              <w:t>6.0</w:t>
            </w:r>
          </w:p>
        </w:tc>
      </w:tr>
      <w:tr w:rsidR="00804047" w:rsidTr="00804047">
        <w:trPr>
          <w:trHeight w:val="322"/>
        </w:trPr>
        <w:tc>
          <w:tcPr>
            <w:tcW w:w="7939" w:type="dxa"/>
          </w:tcPr>
          <w:p w:rsidR="00804047" w:rsidRPr="001F1FD5" w:rsidRDefault="00804047" w:rsidP="00804047">
            <w:pPr>
              <w:rPr>
                <w:sz w:val="22"/>
                <w:szCs w:val="22"/>
              </w:rPr>
            </w:pPr>
            <w:r w:rsidRPr="001F1FD5">
              <w:rPr>
                <w:sz w:val="22"/>
                <w:szCs w:val="22"/>
              </w:rPr>
              <w:t>Forecast impact of conversion to academies</w:t>
            </w:r>
          </w:p>
        </w:tc>
        <w:tc>
          <w:tcPr>
            <w:tcW w:w="1275" w:type="dxa"/>
          </w:tcPr>
          <w:p w:rsidR="00804047" w:rsidRPr="00F56066" w:rsidRDefault="00804047" w:rsidP="00804047">
            <w:pPr>
              <w:jc w:val="right"/>
              <w:rPr>
                <w:sz w:val="22"/>
                <w:szCs w:val="22"/>
              </w:rPr>
            </w:pPr>
            <w:r w:rsidRPr="00F56066">
              <w:rPr>
                <w:sz w:val="22"/>
                <w:szCs w:val="22"/>
              </w:rPr>
              <w:t>2.3</w:t>
            </w:r>
          </w:p>
        </w:tc>
      </w:tr>
      <w:tr w:rsidR="00804047" w:rsidTr="00804047">
        <w:trPr>
          <w:trHeight w:val="371"/>
        </w:trPr>
        <w:tc>
          <w:tcPr>
            <w:tcW w:w="7939" w:type="dxa"/>
            <w:tcBorders>
              <w:bottom w:val="single" w:sz="4" w:space="0" w:color="auto"/>
            </w:tcBorders>
          </w:tcPr>
          <w:p w:rsidR="00804047" w:rsidRPr="001F1FD5" w:rsidRDefault="00804047" w:rsidP="00804047">
            <w:pPr>
              <w:rPr>
                <w:sz w:val="22"/>
                <w:szCs w:val="22"/>
              </w:rPr>
            </w:pPr>
            <w:r w:rsidRPr="001F1FD5">
              <w:rPr>
                <w:sz w:val="22"/>
                <w:szCs w:val="22"/>
              </w:rPr>
              <w:t>Impact of inflation on the prices paid to third parties</w:t>
            </w:r>
          </w:p>
        </w:tc>
        <w:tc>
          <w:tcPr>
            <w:tcW w:w="1275" w:type="dxa"/>
            <w:tcBorders>
              <w:bottom w:val="single" w:sz="4" w:space="0" w:color="auto"/>
            </w:tcBorders>
          </w:tcPr>
          <w:p w:rsidR="00804047" w:rsidRPr="00F56066" w:rsidRDefault="00804047" w:rsidP="00804047">
            <w:pPr>
              <w:jc w:val="right"/>
              <w:rPr>
                <w:sz w:val="22"/>
                <w:szCs w:val="22"/>
              </w:rPr>
            </w:pPr>
            <w:r w:rsidRPr="00F56066">
              <w:rPr>
                <w:sz w:val="22"/>
                <w:szCs w:val="22"/>
              </w:rPr>
              <w:t>79.2</w:t>
            </w:r>
          </w:p>
        </w:tc>
      </w:tr>
      <w:tr w:rsidR="00804047" w:rsidRPr="00BC7FE6" w:rsidTr="00804047">
        <w:trPr>
          <w:trHeight w:val="464"/>
        </w:trPr>
        <w:tc>
          <w:tcPr>
            <w:tcW w:w="7939" w:type="dxa"/>
            <w:tcBorders>
              <w:top w:val="nil"/>
            </w:tcBorders>
          </w:tcPr>
          <w:p w:rsidR="00804047" w:rsidRPr="00BC7FE6" w:rsidRDefault="00804047" w:rsidP="00804047">
            <w:pPr>
              <w:rPr>
                <w:sz w:val="22"/>
                <w:szCs w:val="22"/>
              </w:rPr>
            </w:pPr>
            <w:r w:rsidRPr="00BC7FE6">
              <w:rPr>
                <w:sz w:val="22"/>
                <w:szCs w:val="22"/>
              </w:rPr>
              <w:t>Impact on costs of Forecast Changes to Demand for Services</w:t>
            </w:r>
          </w:p>
        </w:tc>
        <w:tc>
          <w:tcPr>
            <w:tcW w:w="1275" w:type="dxa"/>
            <w:tcBorders>
              <w:top w:val="nil"/>
            </w:tcBorders>
          </w:tcPr>
          <w:p w:rsidR="00804047" w:rsidRPr="00BC7FE6" w:rsidRDefault="00804047" w:rsidP="00804047">
            <w:pPr>
              <w:jc w:val="right"/>
              <w:rPr>
                <w:sz w:val="22"/>
                <w:szCs w:val="22"/>
              </w:rPr>
            </w:pPr>
            <w:r>
              <w:rPr>
                <w:sz w:val="22"/>
                <w:szCs w:val="22"/>
              </w:rPr>
              <w:t>50.9</w:t>
            </w:r>
          </w:p>
        </w:tc>
      </w:tr>
      <w:tr w:rsidR="00804047" w:rsidRPr="00F84EB5" w:rsidTr="00804047">
        <w:trPr>
          <w:trHeight w:val="322"/>
        </w:trPr>
        <w:tc>
          <w:tcPr>
            <w:tcW w:w="7939" w:type="dxa"/>
          </w:tcPr>
          <w:p w:rsidR="00804047" w:rsidRPr="00F56066" w:rsidRDefault="00804047" w:rsidP="00804047">
            <w:pPr>
              <w:rPr>
                <w:i/>
                <w:sz w:val="22"/>
                <w:szCs w:val="22"/>
              </w:rPr>
            </w:pPr>
            <w:r w:rsidRPr="00F56066">
              <w:rPr>
                <w:i/>
                <w:sz w:val="22"/>
                <w:szCs w:val="22"/>
              </w:rPr>
              <w:t>Total of Forecast Increases in Costs</w:t>
            </w:r>
          </w:p>
        </w:tc>
        <w:tc>
          <w:tcPr>
            <w:tcW w:w="1275" w:type="dxa"/>
          </w:tcPr>
          <w:p w:rsidR="00804047" w:rsidRPr="00F56066" w:rsidRDefault="00804047" w:rsidP="00804047">
            <w:pPr>
              <w:jc w:val="right"/>
              <w:rPr>
                <w:i/>
                <w:sz w:val="22"/>
                <w:szCs w:val="22"/>
              </w:rPr>
            </w:pPr>
            <w:r>
              <w:rPr>
                <w:i/>
                <w:sz w:val="22"/>
                <w:szCs w:val="22"/>
              </w:rPr>
              <w:t>165.3</w:t>
            </w:r>
          </w:p>
        </w:tc>
      </w:tr>
      <w:tr w:rsidR="00804047" w:rsidRPr="00F84EB5" w:rsidTr="00804047">
        <w:tc>
          <w:tcPr>
            <w:tcW w:w="7939" w:type="dxa"/>
          </w:tcPr>
          <w:p w:rsidR="00804047" w:rsidRPr="00F56066" w:rsidRDefault="00804047" w:rsidP="00804047">
            <w:pPr>
              <w:rPr>
                <w:b/>
                <w:i/>
                <w:sz w:val="22"/>
                <w:szCs w:val="22"/>
              </w:rPr>
            </w:pPr>
            <w:r>
              <w:rPr>
                <w:b/>
                <w:i/>
                <w:sz w:val="22"/>
                <w:szCs w:val="22"/>
              </w:rPr>
              <w:t>Budget Requirement by 2017/18</w:t>
            </w:r>
          </w:p>
        </w:tc>
        <w:tc>
          <w:tcPr>
            <w:tcW w:w="1275" w:type="dxa"/>
            <w:vAlign w:val="center"/>
          </w:tcPr>
          <w:p w:rsidR="00804047" w:rsidRPr="00F56066" w:rsidRDefault="00804047" w:rsidP="00804047">
            <w:pPr>
              <w:jc w:val="right"/>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2D44C9" w:rsidRDefault="002D44C9" w:rsidP="00804047"/>
    <w:p w:rsidR="002D44C9" w:rsidRDefault="00804047" w:rsidP="00804047">
      <w:r>
        <w:t xml:space="preserve">Of course, in addition to facing increases in costs, the County Council must also consider changes to its resources. </w:t>
      </w:r>
    </w:p>
    <w:p w:rsidR="00804047" w:rsidRPr="00656843" w:rsidRDefault="00804047" w:rsidP="00804047">
      <w:pPr>
        <w:rPr>
          <w:i/>
        </w:rPr>
      </w:pPr>
      <w:r w:rsidRPr="00656843">
        <w:rPr>
          <w:i/>
        </w:rPr>
        <w:t>2.2</w:t>
      </w:r>
      <w:r w:rsidRPr="00656843">
        <w:rPr>
          <w:i/>
        </w:rPr>
        <w:tab/>
        <w:t>Forecast Reductions in the County Council's Resources</w:t>
      </w:r>
    </w:p>
    <w:tbl>
      <w:tblPr>
        <w:tblStyle w:val="TableGrid"/>
        <w:tblW w:w="0" w:type="auto"/>
        <w:tblInd w:w="-34" w:type="dxa"/>
        <w:tblLook w:val="04A0" w:firstRow="1" w:lastRow="0" w:firstColumn="1" w:lastColumn="0" w:noHBand="0" w:noVBand="1"/>
      </w:tblPr>
      <w:tblGrid>
        <w:gridCol w:w="7939"/>
        <w:gridCol w:w="1275"/>
      </w:tblGrid>
      <w:tr w:rsidR="00804047" w:rsidTr="00804047">
        <w:trPr>
          <w:tblHeader/>
        </w:trPr>
        <w:tc>
          <w:tcPr>
            <w:tcW w:w="7939" w:type="dxa"/>
            <w:tcBorders>
              <w:bottom w:val="single" w:sz="4" w:space="0" w:color="auto"/>
            </w:tcBorders>
          </w:tcPr>
          <w:p w:rsidR="00804047" w:rsidRPr="00F56066" w:rsidRDefault="00804047" w:rsidP="00804047">
            <w:pPr>
              <w:rPr>
                <w:sz w:val="22"/>
                <w:szCs w:val="22"/>
              </w:rPr>
            </w:pPr>
          </w:p>
        </w:tc>
        <w:tc>
          <w:tcPr>
            <w:tcW w:w="1275"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804047">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1275" w:type="dxa"/>
            <w:tcBorders>
              <w:bottom w:val="nil"/>
            </w:tcBorders>
            <w:vAlign w:val="center"/>
          </w:tcPr>
          <w:p w:rsidR="00804047" w:rsidRPr="00F56066" w:rsidRDefault="00804047" w:rsidP="00804047">
            <w:pPr>
              <w:jc w:val="right"/>
              <w:rPr>
                <w:b/>
                <w:i/>
                <w:sz w:val="22"/>
                <w:szCs w:val="22"/>
              </w:rPr>
            </w:pPr>
            <w:r>
              <w:rPr>
                <w:b/>
                <w:i/>
                <w:sz w:val="22"/>
                <w:szCs w:val="22"/>
              </w:rPr>
              <w:t>776.34</w:t>
            </w:r>
          </w:p>
        </w:tc>
      </w:tr>
      <w:tr w:rsidR="00804047" w:rsidTr="00804047">
        <w:tc>
          <w:tcPr>
            <w:tcW w:w="7939" w:type="dxa"/>
            <w:tcBorders>
              <w:top w:val="nil"/>
              <w:bottom w:val="nil"/>
            </w:tcBorders>
          </w:tcPr>
          <w:p w:rsidR="00804047" w:rsidRPr="00656843" w:rsidRDefault="00804047" w:rsidP="00804047">
            <w:pPr>
              <w:rPr>
                <w:sz w:val="22"/>
                <w:szCs w:val="22"/>
              </w:rPr>
            </w:pPr>
            <w:r w:rsidRPr="00656843">
              <w:rPr>
                <w:sz w:val="22"/>
                <w:szCs w:val="22"/>
              </w:rPr>
              <w:t>Made up of:</w:t>
            </w:r>
          </w:p>
        </w:tc>
        <w:tc>
          <w:tcPr>
            <w:tcW w:w="1275" w:type="dxa"/>
            <w:tcBorders>
              <w:top w:val="nil"/>
              <w:bottom w:val="nil"/>
            </w:tcBorders>
            <w:vAlign w:val="center"/>
          </w:tcPr>
          <w:p w:rsidR="00804047" w:rsidRPr="00F56066" w:rsidRDefault="00804047" w:rsidP="00804047">
            <w:pPr>
              <w:jc w:val="right"/>
              <w:rPr>
                <w:sz w:val="22"/>
                <w:szCs w:val="22"/>
              </w:rPr>
            </w:pPr>
          </w:p>
        </w:tc>
      </w:tr>
      <w:tr w:rsidR="00804047" w:rsidTr="00804047">
        <w:tc>
          <w:tcPr>
            <w:tcW w:w="7939"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Council tax </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360.21</w:t>
            </w:r>
          </w:p>
        </w:tc>
      </w:tr>
      <w:tr w:rsidR="00804047" w:rsidTr="00804047">
        <w:tc>
          <w:tcPr>
            <w:tcW w:w="7939"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Revenue Support Grant</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248.81</w:t>
            </w:r>
          </w:p>
        </w:tc>
      </w:tr>
      <w:tr w:rsidR="00804047" w:rsidTr="00804047">
        <w:tc>
          <w:tcPr>
            <w:tcW w:w="7939"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Local share of the business rates </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165.53</w:t>
            </w:r>
          </w:p>
        </w:tc>
      </w:tr>
      <w:tr w:rsidR="00804047" w:rsidTr="00804047">
        <w:tc>
          <w:tcPr>
            <w:tcW w:w="7939"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New Homes Bonus</w:t>
            </w:r>
          </w:p>
        </w:tc>
        <w:tc>
          <w:tcPr>
            <w:tcW w:w="1275" w:type="dxa"/>
            <w:tcBorders>
              <w:top w:val="nil"/>
              <w:bottom w:val="nil"/>
            </w:tcBorders>
            <w:vAlign w:val="center"/>
          </w:tcPr>
          <w:p w:rsidR="00804047" w:rsidRPr="00F56066" w:rsidRDefault="00804047" w:rsidP="00804047">
            <w:pPr>
              <w:jc w:val="right"/>
              <w:rPr>
                <w:sz w:val="22"/>
                <w:szCs w:val="22"/>
              </w:rPr>
            </w:pPr>
            <w:r>
              <w:rPr>
                <w:sz w:val="22"/>
                <w:szCs w:val="22"/>
              </w:rPr>
              <w:t>1.79</w:t>
            </w:r>
          </w:p>
        </w:tc>
      </w:tr>
      <w:tr w:rsidR="00804047" w:rsidTr="00804047">
        <w:tc>
          <w:tcPr>
            <w:tcW w:w="7939" w:type="dxa"/>
            <w:tcBorders>
              <w:top w:val="nil"/>
              <w:bottom w:val="single" w:sz="4" w:space="0" w:color="auto"/>
            </w:tcBorders>
          </w:tcPr>
          <w:p w:rsidR="00804047" w:rsidRPr="00F56066" w:rsidRDefault="00804047" w:rsidP="00804047">
            <w:pPr>
              <w:rPr>
                <w:sz w:val="22"/>
                <w:szCs w:val="22"/>
              </w:rPr>
            </w:pPr>
          </w:p>
        </w:tc>
        <w:tc>
          <w:tcPr>
            <w:tcW w:w="1275" w:type="dxa"/>
            <w:tcBorders>
              <w:top w:val="nil"/>
              <w:bottom w:val="single" w:sz="4" w:space="0" w:color="auto"/>
            </w:tcBorders>
            <w:vAlign w:val="center"/>
          </w:tcPr>
          <w:p w:rsidR="00804047" w:rsidRPr="00F56066" w:rsidRDefault="00804047" w:rsidP="00804047">
            <w:pPr>
              <w:jc w:val="right"/>
              <w:rPr>
                <w:sz w:val="22"/>
                <w:szCs w:val="22"/>
              </w:rPr>
            </w:pPr>
          </w:p>
        </w:tc>
      </w:tr>
      <w:tr w:rsidR="00804047" w:rsidTr="00804047">
        <w:trPr>
          <w:trHeight w:val="319"/>
        </w:trPr>
        <w:tc>
          <w:tcPr>
            <w:tcW w:w="7939" w:type="dxa"/>
            <w:tcBorders>
              <w:bottom w:val="nil"/>
            </w:tcBorders>
          </w:tcPr>
          <w:p w:rsidR="00804047" w:rsidRPr="009A0C4A" w:rsidRDefault="00804047" w:rsidP="00804047">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1275" w:type="dxa"/>
            <w:tcBorders>
              <w:bottom w:val="nil"/>
            </w:tcBorders>
            <w:vAlign w:val="center"/>
          </w:tcPr>
          <w:p w:rsidR="00804047" w:rsidRPr="00F56066" w:rsidRDefault="00804047" w:rsidP="00804047">
            <w:pPr>
              <w:jc w:val="right"/>
              <w:rPr>
                <w:sz w:val="22"/>
                <w:szCs w:val="22"/>
              </w:rPr>
            </w:pPr>
          </w:p>
        </w:tc>
      </w:tr>
      <w:tr w:rsidR="00804047" w:rsidTr="00804047">
        <w:trPr>
          <w:trHeight w:val="203"/>
        </w:trPr>
        <w:tc>
          <w:tcPr>
            <w:tcW w:w="7939" w:type="dxa"/>
            <w:tcBorders>
              <w:top w:val="nil"/>
            </w:tcBorders>
          </w:tcPr>
          <w:p w:rsidR="00804047" w:rsidRPr="00F56066" w:rsidRDefault="00804047" w:rsidP="00804047">
            <w:pPr>
              <w:rPr>
                <w:sz w:val="22"/>
                <w:szCs w:val="22"/>
              </w:rPr>
            </w:pPr>
            <w:r>
              <w:rPr>
                <w:sz w:val="22"/>
                <w:szCs w:val="22"/>
              </w:rPr>
              <w:t>Council Tax</w:t>
            </w:r>
          </w:p>
        </w:tc>
        <w:tc>
          <w:tcPr>
            <w:tcW w:w="1275" w:type="dxa"/>
            <w:tcBorders>
              <w:top w:val="nil"/>
            </w:tcBorders>
          </w:tcPr>
          <w:p w:rsidR="00804047" w:rsidRPr="00F56066" w:rsidRDefault="00804047" w:rsidP="00804047">
            <w:pPr>
              <w:jc w:val="right"/>
              <w:rPr>
                <w:sz w:val="22"/>
                <w:szCs w:val="22"/>
              </w:rPr>
            </w:pPr>
            <w:r>
              <w:rPr>
                <w:sz w:val="22"/>
                <w:szCs w:val="22"/>
              </w:rPr>
              <w:t>+4.0</w:t>
            </w:r>
          </w:p>
        </w:tc>
      </w:tr>
      <w:tr w:rsidR="00804047" w:rsidTr="00804047">
        <w:trPr>
          <w:trHeight w:val="225"/>
        </w:trPr>
        <w:tc>
          <w:tcPr>
            <w:tcW w:w="7939" w:type="dxa"/>
          </w:tcPr>
          <w:p w:rsidR="00804047" w:rsidRPr="009F5349" w:rsidRDefault="00804047" w:rsidP="00804047">
            <w:pPr>
              <w:rPr>
                <w:sz w:val="22"/>
                <w:szCs w:val="22"/>
              </w:rPr>
            </w:pPr>
            <w:r>
              <w:rPr>
                <w:sz w:val="22"/>
                <w:szCs w:val="22"/>
              </w:rPr>
              <w:t>Revenue Support Grant and Local share of the business rates</w:t>
            </w:r>
          </w:p>
        </w:tc>
        <w:tc>
          <w:tcPr>
            <w:tcW w:w="1275" w:type="dxa"/>
          </w:tcPr>
          <w:p w:rsidR="00804047" w:rsidRPr="00F56066" w:rsidRDefault="00804047" w:rsidP="00804047">
            <w:pPr>
              <w:jc w:val="right"/>
              <w:rPr>
                <w:sz w:val="22"/>
                <w:szCs w:val="22"/>
              </w:rPr>
            </w:pPr>
            <w:r>
              <w:rPr>
                <w:sz w:val="22"/>
                <w:szCs w:val="22"/>
              </w:rPr>
              <w:t>-133.7</w:t>
            </w:r>
          </w:p>
        </w:tc>
      </w:tr>
      <w:tr w:rsidR="00EC7C87" w:rsidTr="00804047">
        <w:trPr>
          <w:trHeight w:val="257"/>
        </w:trPr>
        <w:tc>
          <w:tcPr>
            <w:tcW w:w="7939" w:type="dxa"/>
          </w:tcPr>
          <w:p w:rsidR="00EC7C87" w:rsidRDefault="00EC7C87" w:rsidP="00804047">
            <w:pPr>
              <w:rPr>
                <w:sz w:val="22"/>
              </w:rPr>
            </w:pPr>
            <w:r>
              <w:rPr>
                <w:sz w:val="22"/>
              </w:rPr>
              <w:t>Additional New Homes Bonus</w:t>
            </w:r>
          </w:p>
        </w:tc>
        <w:tc>
          <w:tcPr>
            <w:tcW w:w="1275" w:type="dxa"/>
          </w:tcPr>
          <w:p w:rsidR="00EC7C87" w:rsidRDefault="00EC7C87" w:rsidP="00804047">
            <w:pPr>
              <w:jc w:val="right"/>
              <w:rPr>
                <w:sz w:val="22"/>
              </w:rPr>
            </w:pPr>
            <w:r>
              <w:rPr>
                <w:sz w:val="22"/>
              </w:rPr>
              <w:t>+1.4</w:t>
            </w:r>
          </w:p>
        </w:tc>
      </w:tr>
      <w:tr w:rsidR="00804047" w:rsidTr="00804047">
        <w:trPr>
          <w:trHeight w:val="257"/>
        </w:trPr>
        <w:tc>
          <w:tcPr>
            <w:tcW w:w="7939" w:type="dxa"/>
          </w:tcPr>
          <w:p w:rsidR="00804047" w:rsidRDefault="00804047" w:rsidP="00804047">
            <w:pPr>
              <w:rPr>
                <w:sz w:val="22"/>
                <w:szCs w:val="22"/>
              </w:rPr>
            </w:pPr>
            <w:r>
              <w:rPr>
                <w:sz w:val="22"/>
                <w:szCs w:val="22"/>
              </w:rPr>
              <w:lastRenderedPageBreak/>
              <w:t>Reduction in Education Support Grant in 2015/16</w:t>
            </w:r>
          </w:p>
        </w:tc>
        <w:tc>
          <w:tcPr>
            <w:tcW w:w="1275" w:type="dxa"/>
          </w:tcPr>
          <w:p w:rsidR="00804047" w:rsidRDefault="00804047" w:rsidP="00804047">
            <w:pPr>
              <w:jc w:val="right"/>
              <w:rPr>
                <w:sz w:val="22"/>
                <w:szCs w:val="22"/>
              </w:rPr>
            </w:pPr>
            <w:r>
              <w:rPr>
                <w:sz w:val="22"/>
                <w:szCs w:val="22"/>
              </w:rPr>
              <w:t>-5.0</w:t>
            </w:r>
          </w:p>
        </w:tc>
      </w:tr>
      <w:tr w:rsidR="00804047" w:rsidTr="00804047">
        <w:trPr>
          <w:trHeight w:val="257"/>
        </w:trPr>
        <w:tc>
          <w:tcPr>
            <w:tcW w:w="7939" w:type="dxa"/>
          </w:tcPr>
          <w:p w:rsidR="00804047" w:rsidRPr="009F5349" w:rsidRDefault="00804047" w:rsidP="00804047">
            <w:pPr>
              <w:rPr>
                <w:sz w:val="22"/>
                <w:szCs w:val="22"/>
              </w:rPr>
            </w:pPr>
            <w:r>
              <w:rPr>
                <w:sz w:val="22"/>
                <w:szCs w:val="22"/>
              </w:rPr>
              <w:t>Proposed topslice to New Homes bonus</w:t>
            </w:r>
          </w:p>
        </w:tc>
        <w:tc>
          <w:tcPr>
            <w:tcW w:w="1275" w:type="dxa"/>
          </w:tcPr>
          <w:p w:rsidR="00804047" w:rsidRPr="00F56066" w:rsidRDefault="00804047" w:rsidP="00804047">
            <w:pPr>
              <w:jc w:val="right"/>
              <w:rPr>
                <w:sz w:val="22"/>
                <w:szCs w:val="22"/>
              </w:rPr>
            </w:pPr>
            <w:r>
              <w:rPr>
                <w:sz w:val="22"/>
                <w:szCs w:val="22"/>
              </w:rPr>
              <w:t>-1.0</w:t>
            </w:r>
          </w:p>
        </w:tc>
      </w:tr>
      <w:tr w:rsidR="00804047" w:rsidTr="00804047">
        <w:trPr>
          <w:trHeight w:val="412"/>
        </w:trPr>
        <w:tc>
          <w:tcPr>
            <w:tcW w:w="7939" w:type="dxa"/>
          </w:tcPr>
          <w:p w:rsidR="00804047" w:rsidRPr="007F34A6" w:rsidRDefault="00804047" w:rsidP="00804047">
            <w:pPr>
              <w:rPr>
                <w:i/>
                <w:sz w:val="22"/>
                <w:szCs w:val="22"/>
              </w:rPr>
            </w:pPr>
            <w:r>
              <w:rPr>
                <w:i/>
                <w:sz w:val="22"/>
                <w:szCs w:val="22"/>
              </w:rPr>
              <w:t>Overall Impact on resources</w:t>
            </w:r>
          </w:p>
        </w:tc>
        <w:tc>
          <w:tcPr>
            <w:tcW w:w="1275" w:type="dxa"/>
          </w:tcPr>
          <w:p w:rsidR="00804047" w:rsidRPr="007F34A6" w:rsidRDefault="00804047" w:rsidP="00804047">
            <w:pPr>
              <w:jc w:val="right"/>
              <w:rPr>
                <w:i/>
                <w:sz w:val="22"/>
                <w:szCs w:val="22"/>
              </w:rPr>
            </w:pPr>
            <w:r>
              <w:rPr>
                <w:i/>
                <w:sz w:val="22"/>
                <w:szCs w:val="22"/>
              </w:rPr>
              <w:t>-134.3</w:t>
            </w:r>
          </w:p>
        </w:tc>
      </w:tr>
      <w:tr w:rsidR="00804047" w:rsidRPr="00C11695" w:rsidTr="00804047">
        <w:trPr>
          <w:trHeight w:val="347"/>
        </w:trPr>
        <w:tc>
          <w:tcPr>
            <w:tcW w:w="7939" w:type="dxa"/>
          </w:tcPr>
          <w:p w:rsidR="00804047" w:rsidRPr="00C11695" w:rsidRDefault="00804047" w:rsidP="00804047">
            <w:pPr>
              <w:rPr>
                <w:b/>
                <w:i/>
                <w:sz w:val="22"/>
                <w:szCs w:val="22"/>
              </w:rPr>
            </w:pPr>
            <w:r w:rsidRPr="00C11695">
              <w:rPr>
                <w:b/>
                <w:i/>
                <w:sz w:val="22"/>
                <w:szCs w:val="22"/>
              </w:rPr>
              <w:t>Forecast of resources in 2017/18</w:t>
            </w:r>
          </w:p>
        </w:tc>
        <w:tc>
          <w:tcPr>
            <w:tcW w:w="1275" w:type="dxa"/>
            <w:vAlign w:val="center"/>
          </w:tcPr>
          <w:p w:rsidR="00804047" w:rsidRPr="00C11695" w:rsidRDefault="00804047" w:rsidP="00804047">
            <w:pPr>
              <w:jc w:val="right"/>
              <w:rPr>
                <w:b/>
                <w:i/>
                <w:sz w:val="22"/>
                <w:szCs w:val="22"/>
              </w:rPr>
            </w:pPr>
            <w:r>
              <w:rPr>
                <w:b/>
                <w:i/>
                <w:sz w:val="22"/>
                <w:szCs w:val="22"/>
              </w:rPr>
              <w:t>642.01</w:t>
            </w:r>
          </w:p>
        </w:tc>
      </w:tr>
    </w:tbl>
    <w:p w:rsidR="00804047" w:rsidRDefault="00804047" w:rsidP="00804047"/>
    <w:p w:rsidR="00804047" w:rsidRPr="00656843" w:rsidRDefault="00804047" w:rsidP="00804047">
      <w:pPr>
        <w:rPr>
          <w:i/>
        </w:rPr>
      </w:pPr>
      <w:r>
        <w:rPr>
          <w:i/>
        </w:rPr>
        <w:t>2.3</w:t>
      </w:r>
      <w:r>
        <w:rPr>
          <w:i/>
        </w:rPr>
        <w:tab/>
        <w:t>The Overall Impact on the County Council</w:t>
      </w:r>
    </w:p>
    <w:p w:rsidR="00804047" w:rsidRDefault="00804047" w:rsidP="00804047">
      <w:r>
        <w:t>The combined impact of increases in costs and reductions in resources is a gap of £300m which will have to be met by either reducing costs or increasing resources. The summary of the Financial Outlook for the County Council over the four year period is set out below.</w:t>
      </w:r>
    </w:p>
    <w:tbl>
      <w:tblPr>
        <w:tblStyle w:val="TableGrid"/>
        <w:tblW w:w="0" w:type="auto"/>
        <w:tblInd w:w="1242" w:type="dxa"/>
        <w:tblLook w:val="04A0" w:firstRow="1" w:lastRow="0" w:firstColumn="1" w:lastColumn="0" w:noHBand="0" w:noVBand="1"/>
      </w:tblPr>
      <w:tblGrid>
        <w:gridCol w:w="3685"/>
        <w:gridCol w:w="3403"/>
      </w:tblGrid>
      <w:tr w:rsidR="00804047" w:rsidRPr="007F34A6" w:rsidTr="00804047">
        <w:tc>
          <w:tcPr>
            <w:tcW w:w="3685" w:type="dxa"/>
          </w:tcPr>
          <w:p w:rsidR="00804047" w:rsidRPr="009A0C4A" w:rsidRDefault="00804047" w:rsidP="00804047">
            <w:pPr>
              <w:rPr>
                <w:b/>
                <w:i/>
                <w:sz w:val="22"/>
                <w:szCs w:val="22"/>
              </w:rPr>
            </w:pPr>
            <w:r w:rsidRPr="009A0C4A">
              <w:rPr>
                <w:b/>
                <w:i/>
                <w:sz w:val="22"/>
                <w:szCs w:val="22"/>
              </w:rPr>
              <w:t>The Overall Position</w:t>
            </w:r>
          </w:p>
        </w:tc>
        <w:tc>
          <w:tcPr>
            <w:tcW w:w="3403" w:type="dxa"/>
            <w:vAlign w:val="center"/>
          </w:tcPr>
          <w:p w:rsidR="00804047" w:rsidRPr="007F34A6" w:rsidRDefault="00804047" w:rsidP="00804047">
            <w:pPr>
              <w:jc w:val="right"/>
              <w:rPr>
                <w:b/>
                <w:i/>
                <w:sz w:val="22"/>
                <w:szCs w:val="22"/>
              </w:rPr>
            </w:pPr>
            <w:r w:rsidRPr="007F34A6">
              <w:rPr>
                <w:b/>
                <w:i/>
                <w:sz w:val="22"/>
                <w:szCs w:val="22"/>
              </w:rPr>
              <w:t>£m</w:t>
            </w:r>
          </w:p>
        </w:tc>
      </w:tr>
      <w:tr w:rsidR="00804047" w:rsidRPr="007F34A6" w:rsidTr="00804047">
        <w:tc>
          <w:tcPr>
            <w:tcW w:w="3685" w:type="dxa"/>
          </w:tcPr>
          <w:p w:rsidR="00804047" w:rsidRPr="007F34A6" w:rsidRDefault="00804047" w:rsidP="00804047">
            <w:pPr>
              <w:rPr>
                <w:i/>
                <w:sz w:val="22"/>
                <w:szCs w:val="22"/>
              </w:rPr>
            </w:pPr>
            <w:r w:rsidRPr="007F34A6">
              <w:rPr>
                <w:i/>
                <w:sz w:val="22"/>
                <w:szCs w:val="22"/>
              </w:rPr>
              <w:t>Budget Requirement by 2017/18</w:t>
            </w:r>
          </w:p>
        </w:tc>
        <w:tc>
          <w:tcPr>
            <w:tcW w:w="3403" w:type="dxa"/>
            <w:vAlign w:val="center"/>
          </w:tcPr>
          <w:p w:rsidR="00804047" w:rsidRPr="007F34A6" w:rsidRDefault="00804047" w:rsidP="00804047">
            <w:pPr>
              <w:jc w:val="right"/>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804047">
        <w:tc>
          <w:tcPr>
            <w:tcW w:w="3685" w:type="dxa"/>
          </w:tcPr>
          <w:p w:rsidR="00804047" w:rsidRPr="007F34A6" w:rsidRDefault="00804047" w:rsidP="00804047">
            <w:pPr>
              <w:rPr>
                <w:i/>
              </w:rPr>
            </w:pPr>
            <w:r w:rsidRPr="007F34A6">
              <w:rPr>
                <w:i/>
                <w:sz w:val="22"/>
                <w:szCs w:val="22"/>
              </w:rPr>
              <w:t>Forecast of resources in 2017/18</w:t>
            </w:r>
          </w:p>
        </w:tc>
        <w:tc>
          <w:tcPr>
            <w:tcW w:w="3403" w:type="dxa"/>
            <w:vAlign w:val="center"/>
          </w:tcPr>
          <w:p w:rsidR="00804047" w:rsidRPr="007F34A6" w:rsidRDefault="00804047" w:rsidP="00804047">
            <w:pPr>
              <w:jc w:val="right"/>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804047">
        <w:tc>
          <w:tcPr>
            <w:tcW w:w="3685" w:type="dxa"/>
          </w:tcPr>
          <w:p w:rsidR="00804047" w:rsidRPr="007F34A6" w:rsidRDefault="00804047" w:rsidP="00804047">
            <w:pPr>
              <w:rPr>
                <w:b/>
                <w:i/>
              </w:rPr>
            </w:pPr>
            <w:r w:rsidRPr="007F34A6">
              <w:rPr>
                <w:b/>
                <w:i/>
              </w:rPr>
              <w:t>Gap</w:t>
            </w:r>
          </w:p>
        </w:tc>
        <w:tc>
          <w:tcPr>
            <w:tcW w:w="3403" w:type="dxa"/>
            <w:vAlign w:val="center"/>
          </w:tcPr>
          <w:p w:rsidR="00804047" w:rsidRPr="007F34A6" w:rsidRDefault="00804047" w:rsidP="00804047">
            <w:pPr>
              <w:jc w:val="right"/>
              <w:rPr>
                <w:b/>
                <w:i/>
              </w:rPr>
            </w:pPr>
            <w:r>
              <w:rPr>
                <w:b/>
                <w:i/>
              </w:rPr>
              <w:t>299.63</w:t>
            </w:r>
          </w:p>
        </w:tc>
      </w:tr>
    </w:tbl>
    <w:p w:rsidR="00804047" w:rsidRDefault="00804047" w:rsidP="00804047"/>
    <w:p w:rsidR="00804047" w:rsidRDefault="00804047" w:rsidP="00804047">
      <w:r>
        <w:t>This gap is profiled over the next four financial years as follows:</w:t>
      </w:r>
    </w:p>
    <w:tbl>
      <w:tblPr>
        <w:tblStyle w:val="TableGrid"/>
        <w:tblW w:w="0" w:type="auto"/>
        <w:tblInd w:w="1440" w:type="dxa"/>
        <w:tblBorders>
          <w:bottom w:val="none" w:sz="0" w:space="0" w:color="auto"/>
        </w:tblBorders>
        <w:tblLook w:val="04A0" w:firstRow="1" w:lastRow="0" w:firstColumn="1" w:lastColumn="0" w:noHBand="0" w:noVBand="1"/>
      </w:tblPr>
      <w:tblGrid>
        <w:gridCol w:w="1275"/>
        <w:gridCol w:w="1134"/>
        <w:gridCol w:w="1134"/>
        <w:gridCol w:w="1134"/>
        <w:gridCol w:w="1196"/>
      </w:tblGrid>
      <w:tr w:rsidR="00804047" w:rsidRPr="008F0AB5" w:rsidTr="00804047">
        <w:tc>
          <w:tcPr>
            <w:tcW w:w="1275" w:type="dxa"/>
            <w:tcBorders>
              <w:bottom w:val="single" w:sz="4" w:space="0" w:color="auto"/>
            </w:tcBorders>
          </w:tcPr>
          <w:p w:rsidR="00804047" w:rsidRPr="008F0AB5" w:rsidRDefault="00804047" w:rsidP="00804047">
            <w:pPr>
              <w:jc w:val="center"/>
              <w:rPr>
                <w:b/>
                <w:sz w:val="23"/>
                <w:szCs w:val="23"/>
              </w:rPr>
            </w:pPr>
            <w:r w:rsidRPr="008F0AB5">
              <w:rPr>
                <w:b/>
                <w:sz w:val="23"/>
                <w:szCs w:val="23"/>
              </w:rPr>
              <w:t>2014/15</w:t>
            </w:r>
          </w:p>
          <w:p w:rsidR="00804047" w:rsidRPr="008F0AB5" w:rsidRDefault="00804047" w:rsidP="00804047">
            <w:pPr>
              <w:jc w:val="cente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804047">
            <w:pPr>
              <w:jc w:val="center"/>
              <w:rPr>
                <w:b/>
                <w:sz w:val="23"/>
                <w:szCs w:val="23"/>
              </w:rPr>
            </w:pPr>
            <w:r w:rsidRPr="008F0AB5">
              <w:rPr>
                <w:b/>
                <w:sz w:val="23"/>
                <w:szCs w:val="23"/>
              </w:rPr>
              <w:t>2015/16</w:t>
            </w:r>
          </w:p>
          <w:p w:rsidR="00804047" w:rsidRPr="008F0AB5" w:rsidRDefault="00804047" w:rsidP="00804047">
            <w:pPr>
              <w:jc w:val="cente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804047">
            <w:pPr>
              <w:jc w:val="center"/>
              <w:rPr>
                <w:b/>
                <w:sz w:val="23"/>
                <w:szCs w:val="23"/>
              </w:rPr>
            </w:pPr>
            <w:r w:rsidRPr="008F0AB5">
              <w:rPr>
                <w:b/>
                <w:sz w:val="23"/>
                <w:szCs w:val="23"/>
              </w:rPr>
              <w:t>2016/17</w:t>
            </w:r>
          </w:p>
          <w:p w:rsidR="00804047" w:rsidRPr="008F0AB5" w:rsidRDefault="00804047" w:rsidP="00804047">
            <w:pPr>
              <w:jc w:val="cente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804047">
            <w:pPr>
              <w:jc w:val="center"/>
              <w:rPr>
                <w:b/>
                <w:sz w:val="23"/>
                <w:szCs w:val="23"/>
              </w:rPr>
            </w:pPr>
            <w:r w:rsidRPr="008F0AB5">
              <w:rPr>
                <w:b/>
                <w:sz w:val="23"/>
                <w:szCs w:val="23"/>
              </w:rPr>
              <w:t>2017/18</w:t>
            </w:r>
          </w:p>
          <w:p w:rsidR="00804047" w:rsidRPr="008F0AB5" w:rsidRDefault="00804047" w:rsidP="00804047">
            <w:pPr>
              <w:jc w:val="center"/>
              <w:rPr>
                <w:b/>
                <w:sz w:val="23"/>
                <w:szCs w:val="23"/>
              </w:rPr>
            </w:pPr>
            <w:r w:rsidRPr="008F0AB5">
              <w:rPr>
                <w:b/>
                <w:sz w:val="23"/>
                <w:szCs w:val="23"/>
              </w:rPr>
              <w:t>£m</w:t>
            </w:r>
          </w:p>
        </w:tc>
        <w:tc>
          <w:tcPr>
            <w:tcW w:w="1196" w:type="dxa"/>
            <w:tcBorders>
              <w:bottom w:val="single" w:sz="4" w:space="0" w:color="auto"/>
            </w:tcBorders>
          </w:tcPr>
          <w:p w:rsidR="00804047" w:rsidRPr="008F0AB5" w:rsidRDefault="00804047" w:rsidP="00804047">
            <w:pPr>
              <w:jc w:val="center"/>
              <w:rPr>
                <w:b/>
                <w:sz w:val="23"/>
                <w:szCs w:val="23"/>
              </w:rPr>
            </w:pPr>
            <w:r w:rsidRPr="008F0AB5">
              <w:rPr>
                <w:b/>
                <w:sz w:val="23"/>
                <w:szCs w:val="23"/>
              </w:rPr>
              <w:t>Total</w:t>
            </w:r>
          </w:p>
          <w:p w:rsidR="00804047" w:rsidRPr="008F0AB5" w:rsidRDefault="00804047" w:rsidP="00804047">
            <w:pPr>
              <w:jc w:val="center"/>
              <w:rPr>
                <w:b/>
                <w:sz w:val="23"/>
                <w:szCs w:val="23"/>
              </w:rPr>
            </w:pPr>
            <w:r w:rsidRPr="008F0AB5">
              <w:rPr>
                <w:b/>
                <w:sz w:val="23"/>
                <w:szCs w:val="23"/>
              </w:rPr>
              <w:t>£m</w:t>
            </w:r>
          </w:p>
        </w:tc>
      </w:tr>
      <w:tr w:rsidR="00804047" w:rsidRPr="008F0AB5" w:rsidTr="00804047">
        <w:tc>
          <w:tcPr>
            <w:tcW w:w="1275" w:type="dxa"/>
            <w:tcBorders>
              <w:bottom w:val="single" w:sz="4" w:space="0" w:color="auto"/>
            </w:tcBorders>
          </w:tcPr>
          <w:p w:rsidR="00804047" w:rsidRPr="008F0AB5" w:rsidRDefault="00804047" w:rsidP="00ED1409">
            <w:pPr>
              <w:jc w:val="right"/>
              <w:rPr>
                <w:sz w:val="23"/>
                <w:szCs w:val="23"/>
              </w:rPr>
            </w:pPr>
            <w:r>
              <w:rPr>
                <w:sz w:val="23"/>
                <w:szCs w:val="23"/>
              </w:rPr>
              <w:t>76</w:t>
            </w:r>
          </w:p>
        </w:tc>
        <w:tc>
          <w:tcPr>
            <w:tcW w:w="1134" w:type="dxa"/>
            <w:tcBorders>
              <w:bottom w:val="single" w:sz="4" w:space="0" w:color="auto"/>
            </w:tcBorders>
          </w:tcPr>
          <w:p w:rsidR="00804047" w:rsidRPr="008F0AB5" w:rsidRDefault="00804047" w:rsidP="00ED1409">
            <w:pPr>
              <w:jc w:val="right"/>
              <w:rPr>
                <w:sz w:val="23"/>
                <w:szCs w:val="23"/>
              </w:rPr>
            </w:pPr>
            <w:r>
              <w:rPr>
                <w:sz w:val="23"/>
                <w:szCs w:val="23"/>
              </w:rPr>
              <w:t>94</w:t>
            </w:r>
          </w:p>
        </w:tc>
        <w:tc>
          <w:tcPr>
            <w:tcW w:w="1134" w:type="dxa"/>
            <w:tcBorders>
              <w:bottom w:val="single" w:sz="4" w:space="0" w:color="auto"/>
            </w:tcBorders>
          </w:tcPr>
          <w:p w:rsidR="00804047" w:rsidRPr="008F0AB5" w:rsidRDefault="00804047" w:rsidP="00ED1409">
            <w:pPr>
              <w:jc w:val="right"/>
              <w:rPr>
                <w:sz w:val="23"/>
                <w:szCs w:val="23"/>
              </w:rPr>
            </w:pPr>
            <w:r>
              <w:rPr>
                <w:sz w:val="23"/>
                <w:szCs w:val="23"/>
              </w:rPr>
              <w:t>67</w:t>
            </w:r>
          </w:p>
        </w:tc>
        <w:tc>
          <w:tcPr>
            <w:tcW w:w="1134" w:type="dxa"/>
            <w:tcBorders>
              <w:bottom w:val="single" w:sz="4" w:space="0" w:color="auto"/>
            </w:tcBorders>
          </w:tcPr>
          <w:p w:rsidR="00804047" w:rsidRPr="008F0AB5" w:rsidRDefault="00804047" w:rsidP="00ED1409">
            <w:pPr>
              <w:jc w:val="right"/>
              <w:rPr>
                <w:sz w:val="23"/>
                <w:szCs w:val="23"/>
              </w:rPr>
            </w:pPr>
            <w:r>
              <w:rPr>
                <w:sz w:val="23"/>
                <w:szCs w:val="23"/>
              </w:rPr>
              <w:t>63</w:t>
            </w:r>
          </w:p>
        </w:tc>
        <w:tc>
          <w:tcPr>
            <w:tcW w:w="1196" w:type="dxa"/>
            <w:tcBorders>
              <w:bottom w:val="single" w:sz="4" w:space="0" w:color="auto"/>
            </w:tcBorders>
          </w:tcPr>
          <w:p w:rsidR="00804047" w:rsidRPr="008F0AB5" w:rsidRDefault="00804047" w:rsidP="00ED1409">
            <w:pPr>
              <w:jc w:val="right"/>
              <w:rPr>
                <w:sz w:val="23"/>
                <w:szCs w:val="23"/>
              </w:rPr>
            </w:pPr>
            <w:r>
              <w:rPr>
                <w:sz w:val="23"/>
                <w:szCs w:val="23"/>
              </w:rPr>
              <w:t>300</w:t>
            </w:r>
          </w:p>
        </w:tc>
      </w:tr>
    </w:tbl>
    <w:p w:rsidR="000D2156" w:rsidRDefault="000D2156">
      <w:pPr>
        <w:rPr>
          <w:szCs w:val="24"/>
        </w:rPr>
      </w:pPr>
    </w:p>
    <w:p w:rsidR="009B328C" w:rsidRPr="009B328C" w:rsidRDefault="009B328C" w:rsidP="009B328C">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DE1265" w:rsidRDefault="00354FE2" w:rsidP="00DE1265">
      <w:pPr>
        <w:spacing w:after="0"/>
        <w:jc w:val="both"/>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DE1265" w:rsidRDefault="00DE1265" w:rsidP="00DE1265">
      <w:pPr>
        <w:spacing w:after="0"/>
        <w:jc w:val="both"/>
      </w:pPr>
    </w:p>
    <w:p w:rsidR="00DE1265" w:rsidRDefault="00354FE2" w:rsidP="00DE1265">
      <w:pPr>
        <w:pStyle w:val="ListParagraph"/>
        <w:numPr>
          <w:ilvl w:val="0"/>
          <w:numId w:val="8"/>
        </w:numPr>
        <w:spacing w:after="0"/>
        <w:jc w:val="both"/>
      </w:pPr>
      <w:r>
        <w:t>Review of cost pressures within the financial forecast</w:t>
      </w:r>
    </w:p>
    <w:p w:rsidR="00DE1265" w:rsidRDefault="00354FE2" w:rsidP="00DE1265">
      <w:pPr>
        <w:pStyle w:val="ListParagraph"/>
        <w:numPr>
          <w:ilvl w:val="0"/>
          <w:numId w:val="8"/>
        </w:numPr>
        <w:spacing w:after="0"/>
        <w:jc w:val="both"/>
      </w:pPr>
      <w:r>
        <w:t>The outcome of the 10% Challenges, and</w:t>
      </w:r>
    </w:p>
    <w:p w:rsidR="00BE6085" w:rsidRDefault="00354FE2" w:rsidP="00DE1265">
      <w:pPr>
        <w:pStyle w:val="ListParagraph"/>
        <w:numPr>
          <w:ilvl w:val="0"/>
          <w:numId w:val="8"/>
        </w:numPr>
        <w:spacing w:after="0"/>
        <w:jc w:val="both"/>
      </w:pPr>
      <w:r>
        <w:t>Reducing the cost of being in business.</w:t>
      </w:r>
    </w:p>
    <w:p w:rsidR="00DE1265" w:rsidRDefault="00DE1265" w:rsidP="00DE1265">
      <w:pPr>
        <w:spacing w:after="0"/>
      </w:pPr>
    </w:p>
    <w:p w:rsidR="00C21C22" w:rsidRDefault="009B328C" w:rsidP="00DE1265">
      <w:pPr>
        <w:spacing w:after="0"/>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DE1265" w:rsidRPr="00C21C22" w:rsidRDefault="00DE1265" w:rsidP="00DE1265">
      <w:pPr>
        <w:spacing w:after="0"/>
        <w:rPr>
          <w:szCs w:val="24"/>
        </w:rPr>
      </w:pPr>
    </w:p>
    <w:p w:rsidR="00410E1E" w:rsidRPr="00C21C22" w:rsidRDefault="00410E1E" w:rsidP="00DE1265">
      <w:pPr>
        <w:pStyle w:val="ListParagraph"/>
        <w:numPr>
          <w:ilvl w:val="1"/>
          <w:numId w:val="1"/>
        </w:numPr>
        <w:spacing w:after="0"/>
        <w:ind w:left="0"/>
        <w:rPr>
          <w:szCs w:val="24"/>
        </w:rPr>
      </w:pPr>
      <w:r w:rsidRPr="00C21C22">
        <w:rPr>
          <w:i/>
          <w:szCs w:val="24"/>
        </w:rPr>
        <w:t>Ongoing Review of Costs</w:t>
      </w:r>
    </w:p>
    <w:p w:rsidR="000D2156" w:rsidRDefault="000D2156" w:rsidP="00DE1265">
      <w:pPr>
        <w:spacing w:after="0"/>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DE1265" w:rsidRDefault="00DE1265" w:rsidP="00DE1265">
      <w:pPr>
        <w:spacing w:after="0"/>
        <w:rPr>
          <w:szCs w:val="24"/>
        </w:rPr>
      </w:pPr>
    </w:p>
    <w:p w:rsidR="00807A08" w:rsidRDefault="000D2156" w:rsidP="00807A08">
      <w:pPr>
        <w:jc w:val="both"/>
      </w:pPr>
      <w:r>
        <w:rPr>
          <w:szCs w:val="24"/>
        </w:rPr>
        <w:lastRenderedPageBreak/>
        <w:t xml:space="preserve">Currently taking into account the impact of new pressures identified this review results in a reduction in the savings requirement over the four years of £17.4m. Work will continue </w:t>
      </w:r>
      <w:r w:rsidR="00807A08">
        <w:rPr>
          <w:szCs w:val="24"/>
        </w:rPr>
        <w:t>to keep</w:t>
      </w:r>
      <w:r w:rsidR="00807A08" w:rsidRPr="00807A08">
        <w:t xml:space="preserve"> </w:t>
      </w:r>
      <w:r w:rsidR="00807A08">
        <w:t>costs under review to ensure they are neither under forecast (and placing the County Council at risk of overspending) or over forecast (and at risk of reducing spend in services unnecessarily).</w:t>
      </w:r>
    </w:p>
    <w:tbl>
      <w:tblPr>
        <w:tblStyle w:val="TableGrid"/>
        <w:tblW w:w="0" w:type="auto"/>
        <w:tblInd w:w="108" w:type="dxa"/>
        <w:tblBorders>
          <w:bottom w:val="none" w:sz="0" w:space="0" w:color="auto"/>
        </w:tblBorders>
        <w:tblLook w:val="04A0" w:firstRow="1" w:lastRow="0" w:firstColumn="1" w:lastColumn="0" w:noHBand="0" w:noVBand="1"/>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0D2156">
            <w:pPr>
              <w:jc w:val="center"/>
              <w:rPr>
                <w:b/>
                <w:sz w:val="23"/>
                <w:szCs w:val="23"/>
              </w:rPr>
            </w:pPr>
            <w:r w:rsidRPr="008F0AB5">
              <w:rPr>
                <w:b/>
                <w:sz w:val="23"/>
                <w:szCs w:val="23"/>
              </w:rPr>
              <w:t>Area</w:t>
            </w:r>
            <w:r>
              <w:rPr>
                <w:b/>
                <w:sz w:val="23"/>
                <w:szCs w:val="23"/>
              </w:rPr>
              <w:t xml:space="preserve"> of Cost</w:t>
            </w:r>
          </w:p>
        </w:tc>
        <w:tc>
          <w:tcPr>
            <w:tcW w:w="1275"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196"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Tr="000D2156">
        <w:tc>
          <w:tcPr>
            <w:tcW w:w="3261" w:type="dxa"/>
          </w:tcPr>
          <w:p w:rsidR="000D2156" w:rsidRPr="008F0AB5" w:rsidRDefault="000D2156" w:rsidP="000D2156">
            <w:pPr>
              <w:jc w:val="both"/>
              <w:rPr>
                <w:sz w:val="23"/>
                <w:szCs w:val="23"/>
              </w:rPr>
            </w:pPr>
            <w:r w:rsidRPr="008F0AB5">
              <w:rPr>
                <w:sz w:val="23"/>
                <w:szCs w:val="23"/>
              </w:rPr>
              <w:t>Impact of the proposal to implement the Living Wage</w:t>
            </w:r>
          </w:p>
        </w:tc>
        <w:tc>
          <w:tcPr>
            <w:tcW w:w="1275" w:type="dxa"/>
          </w:tcPr>
          <w:p w:rsidR="000D2156" w:rsidRPr="008F0AB5" w:rsidRDefault="000D2156" w:rsidP="00ED1409">
            <w:pPr>
              <w:jc w:val="right"/>
              <w:rPr>
                <w:sz w:val="23"/>
                <w:szCs w:val="23"/>
              </w:rPr>
            </w:pPr>
            <w:r>
              <w:rPr>
                <w:sz w:val="23"/>
                <w:szCs w:val="23"/>
              </w:rPr>
              <w:t>-</w:t>
            </w:r>
            <w:r w:rsidR="00BE6085">
              <w:rPr>
                <w:sz w:val="23"/>
                <w:szCs w:val="23"/>
              </w:rPr>
              <w:t>3.000</w:t>
            </w:r>
          </w:p>
        </w:tc>
        <w:tc>
          <w:tcPr>
            <w:tcW w:w="1134" w:type="dxa"/>
          </w:tcPr>
          <w:p w:rsidR="000D2156" w:rsidRPr="008F0AB5" w:rsidRDefault="000D2156" w:rsidP="00ED1409">
            <w:pPr>
              <w:jc w:val="right"/>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0.093</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0.095</w:t>
            </w:r>
          </w:p>
        </w:tc>
        <w:tc>
          <w:tcPr>
            <w:tcW w:w="1196" w:type="dxa"/>
          </w:tcPr>
          <w:p w:rsidR="000D2156" w:rsidRPr="008F0AB5" w:rsidRDefault="000D2156" w:rsidP="00ED1409">
            <w:pPr>
              <w:jc w:val="right"/>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0D2156">
            <w:pPr>
              <w:jc w:val="both"/>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ED1409">
            <w:pPr>
              <w:jc w:val="right"/>
              <w:rPr>
                <w:sz w:val="23"/>
                <w:szCs w:val="23"/>
              </w:rPr>
            </w:pPr>
            <w:r>
              <w:rPr>
                <w:sz w:val="23"/>
                <w:szCs w:val="23"/>
              </w:rPr>
              <w:t>-</w:t>
            </w:r>
            <w:r w:rsidRPr="008F0AB5">
              <w:rPr>
                <w:sz w:val="23"/>
                <w:szCs w:val="23"/>
              </w:rPr>
              <w:t>5.000</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96" w:type="dxa"/>
          </w:tcPr>
          <w:p w:rsidR="000D2156" w:rsidRPr="008F0AB5" w:rsidRDefault="000D2156" w:rsidP="00ED1409">
            <w:pPr>
              <w:jc w:val="right"/>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0D2156">
            <w:pPr>
              <w:jc w:val="both"/>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ED1409">
            <w:pPr>
              <w:jc w:val="right"/>
              <w:rPr>
                <w:sz w:val="23"/>
                <w:szCs w:val="23"/>
              </w:rPr>
            </w:pPr>
            <w:r>
              <w:rPr>
                <w:sz w:val="23"/>
                <w:szCs w:val="23"/>
              </w:rPr>
              <w:t>3.600</w:t>
            </w:r>
          </w:p>
        </w:tc>
        <w:tc>
          <w:tcPr>
            <w:tcW w:w="1134" w:type="dxa"/>
          </w:tcPr>
          <w:p w:rsidR="000D2156" w:rsidRPr="008F0AB5" w:rsidRDefault="000D2156" w:rsidP="00ED1409">
            <w:pPr>
              <w:jc w:val="right"/>
              <w:rPr>
                <w:sz w:val="23"/>
                <w:szCs w:val="23"/>
              </w:rPr>
            </w:pPr>
            <w:r>
              <w:rPr>
                <w:sz w:val="23"/>
                <w:szCs w:val="23"/>
              </w:rPr>
              <w:t>1.900</w:t>
            </w:r>
          </w:p>
        </w:tc>
        <w:tc>
          <w:tcPr>
            <w:tcW w:w="1134" w:type="dxa"/>
          </w:tcPr>
          <w:p w:rsidR="000D2156" w:rsidRPr="008F0AB5" w:rsidRDefault="000D2156" w:rsidP="00ED1409">
            <w:pPr>
              <w:jc w:val="right"/>
              <w:rPr>
                <w:sz w:val="23"/>
                <w:szCs w:val="23"/>
              </w:rPr>
            </w:pPr>
            <w:r>
              <w:rPr>
                <w:sz w:val="23"/>
                <w:szCs w:val="23"/>
              </w:rPr>
              <w:t>1.300</w:t>
            </w:r>
          </w:p>
        </w:tc>
        <w:tc>
          <w:tcPr>
            <w:tcW w:w="1134" w:type="dxa"/>
          </w:tcPr>
          <w:p w:rsidR="000D2156" w:rsidRPr="008F0AB5" w:rsidRDefault="000D2156" w:rsidP="00ED1409">
            <w:pPr>
              <w:jc w:val="right"/>
              <w:rPr>
                <w:sz w:val="23"/>
                <w:szCs w:val="23"/>
              </w:rPr>
            </w:pPr>
            <w:r>
              <w:rPr>
                <w:sz w:val="23"/>
                <w:szCs w:val="23"/>
              </w:rPr>
              <w:t>0.800</w:t>
            </w:r>
          </w:p>
        </w:tc>
        <w:tc>
          <w:tcPr>
            <w:tcW w:w="1196" w:type="dxa"/>
          </w:tcPr>
          <w:p w:rsidR="000D2156" w:rsidRPr="008F0AB5" w:rsidRDefault="000D2156" w:rsidP="00ED1409">
            <w:pPr>
              <w:jc w:val="right"/>
              <w:rPr>
                <w:sz w:val="23"/>
                <w:szCs w:val="23"/>
              </w:rPr>
            </w:pPr>
            <w:r>
              <w:rPr>
                <w:sz w:val="23"/>
                <w:szCs w:val="23"/>
              </w:rPr>
              <w:t>7.600</w:t>
            </w:r>
          </w:p>
        </w:tc>
      </w:tr>
      <w:tr w:rsidR="000D2156" w:rsidTr="000D2156">
        <w:tc>
          <w:tcPr>
            <w:tcW w:w="3261" w:type="dxa"/>
          </w:tcPr>
          <w:p w:rsidR="000D2156" w:rsidRPr="008F0AB5" w:rsidRDefault="000D2156" w:rsidP="000D2156">
            <w:pPr>
              <w:jc w:val="both"/>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ED1409">
            <w:pPr>
              <w:jc w:val="right"/>
              <w:rPr>
                <w:sz w:val="23"/>
                <w:szCs w:val="23"/>
              </w:rPr>
            </w:pPr>
            <w:r>
              <w:rPr>
                <w:sz w:val="23"/>
                <w:szCs w:val="23"/>
              </w:rPr>
              <w:t>3.245</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3.245</w:t>
            </w:r>
          </w:p>
        </w:tc>
      </w:tr>
      <w:tr w:rsidR="000D2156" w:rsidTr="000D2156">
        <w:tc>
          <w:tcPr>
            <w:tcW w:w="3261" w:type="dxa"/>
          </w:tcPr>
          <w:p w:rsidR="000D2156" w:rsidRDefault="000D2156" w:rsidP="000D2156">
            <w:pPr>
              <w:jc w:val="both"/>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ED1409">
            <w:pPr>
              <w:jc w:val="right"/>
              <w:rPr>
                <w:sz w:val="23"/>
                <w:szCs w:val="23"/>
              </w:rPr>
            </w:pPr>
            <w:r>
              <w:rPr>
                <w:sz w:val="23"/>
                <w:szCs w:val="23"/>
              </w:rPr>
              <w:t>0.645</w:t>
            </w:r>
          </w:p>
        </w:tc>
        <w:tc>
          <w:tcPr>
            <w:tcW w:w="1134" w:type="dxa"/>
          </w:tcPr>
          <w:p w:rsidR="000D2156" w:rsidRDefault="000D2156" w:rsidP="00ED1409">
            <w:pPr>
              <w:jc w:val="right"/>
              <w:rPr>
                <w:sz w:val="23"/>
                <w:szCs w:val="23"/>
              </w:rPr>
            </w:pPr>
            <w:r>
              <w:rPr>
                <w:sz w:val="23"/>
                <w:szCs w:val="23"/>
              </w:rPr>
              <w:t>0.180</w:t>
            </w:r>
          </w:p>
        </w:tc>
        <w:tc>
          <w:tcPr>
            <w:tcW w:w="1134" w:type="dxa"/>
          </w:tcPr>
          <w:p w:rsidR="000D2156" w:rsidRDefault="000D2156" w:rsidP="00ED1409">
            <w:pPr>
              <w:jc w:val="right"/>
              <w:rPr>
                <w:sz w:val="23"/>
                <w:szCs w:val="23"/>
              </w:rPr>
            </w:pPr>
            <w:r>
              <w:rPr>
                <w:sz w:val="23"/>
                <w:szCs w:val="23"/>
              </w:rPr>
              <w:t>0.197</w:t>
            </w:r>
          </w:p>
        </w:tc>
        <w:tc>
          <w:tcPr>
            <w:tcW w:w="1134" w:type="dxa"/>
          </w:tcPr>
          <w:p w:rsidR="000D2156" w:rsidRDefault="000D2156" w:rsidP="00ED1409">
            <w:pPr>
              <w:jc w:val="right"/>
              <w:rPr>
                <w:sz w:val="23"/>
                <w:szCs w:val="23"/>
              </w:rPr>
            </w:pPr>
            <w:r>
              <w:rPr>
                <w:sz w:val="23"/>
                <w:szCs w:val="23"/>
              </w:rPr>
              <w:t>0.190</w:t>
            </w:r>
          </w:p>
        </w:tc>
        <w:tc>
          <w:tcPr>
            <w:tcW w:w="1196" w:type="dxa"/>
          </w:tcPr>
          <w:p w:rsidR="000D2156" w:rsidRDefault="000D2156" w:rsidP="00ED1409">
            <w:pPr>
              <w:jc w:val="right"/>
              <w:rPr>
                <w:sz w:val="23"/>
                <w:szCs w:val="23"/>
              </w:rPr>
            </w:pPr>
            <w:r>
              <w:rPr>
                <w:sz w:val="23"/>
                <w:szCs w:val="23"/>
              </w:rPr>
              <w:t>1.212</w:t>
            </w:r>
          </w:p>
        </w:tc>
      </w:tr>
      <w:tr w:rsidR="000D2156" w:rsidTr="000D2156">
        <w:trPr>
          <w:trHeight w:val="1393"/>
        </w:trPr>
        <w:tc>
          <w:tcPr>
            <w:tcW w:w="3261" w:type="dxa"/>
          </w:tcPr>
          <w:p w:rsidR="000D2156" w:rsidRPr="008F0AB5" w:rsidRDefault="000D2156" w:rsidP="000D2156">
            <w:pPr>
              <w:jc w:val="both"/>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ED1409">
            <w:pPr>
              <w:jc w:val="right"/>
              <w:rPr>
                <w:sz w:val="23"/>
                <w:szCs w:val="23"/>
              </w:rPr>
            </w:pPr>
            <w:r>
              <w:rPr>
                <w:sz w:val="23"/>
                <w:szCs w:val="23"/>
              </w:rPr>
              <w:t>1.500</w:t>
            </w:r>
          </w:p>
        </w:tc>
        <w:tc>
          <w:tcPr>
            <w:tcW w:w="1134" w:type="dxa"/>
          </w:tcPr>
          <w:p w:rsidR="000D2156" w:rsidRPr="008F0AB5" w:rsidRDefault="000D2156" w:rsidP="00ED1409">
            <w:pPr>
              <w:jc w:val="right"/>
              <w:rPr>
                <w:sz w:val="23"/>
                <w:szCs w:val="23"/>
              </w:rPr>
            </w:pPr>
            <w:r>
              <w:rPr>
                <w:sz w:val="23"/>
                <w:szCs w:val="23"/>
              </w:rPr>
              <w:t>1.553</w:t>
            </w:r>
          </w:p>
        </w:tc>
        <w:tc>
          <w:tcPr>
            <w:tcW w:w="1134" w:type="dxa"/>
          </w:tcPr>
          <w:p w:rsidR="000D2156" w:rsidRPr="008F0AB5" w:rsidRDefault="000D2156" w:rsidP="00ED1409">
            <w:pPr>
              <w:jc w:val="right"/>
              <w:rPr>
                <w:sz w:val="23"/>
                <w:szCs w:val="23"/>
              </w:rPr>
            </w:pPr>
            <w:r>
              <w:rPr>
                <w:sz w:val="23"/>
                <w:szCs w:val="23"/>
              </w:rPr>
              <w:t>1.541</w:t>
            </w:r>
          </w:p>
        </w:tc>
        <w:tc>
          <w:tcPr>
            <w:tcW w:w="1134" w:type="dxa"/>
          </w:tcPr>
          <w:p w:rsidR="000D2156" w:rsidRPr="008F0AB5" w:rsidRDefault="000D2156" w:rsidP="00ED1409">
            <w:pPr>
              <w:jc w:val="right"/>
              <w:rPr>
                <w:sz w:val="23"/>
                <w:szCs w:val="23"/>
              </w:rPr>
            </w:pPr>
            <w:r>
              <w:rPr>
                <w:sz w:val="23"/>
                <w:szCs w:val="23"/>
              </w:rPr>
              <w:t>1.538</w:t>
            </w:r>
          </w:p>
        </w:tc>
        <w:tc>
          <w:tcPr>
            <w:tcW w:w="1196" w:type="dxa"/>
          </w:tcPr>
          <w:p w:rsidR="000D2156" w:rsidRPr="008F0AB5" w:rsidRDefault="000D2156" w:rsidP="00ED1409">
            <w:pPr>
              <w:jc w:val="right"/>
              <w:rPr>
                <w:sz w:val="23"/>
                <w:szCs w:val="23"/>
              </w:rPr>
            </w:pPr>
            <w:r>
              <w:rPr>
                <w:sz w:val="23"/>
                <w:szCs w:val="23"/>
              </w:rPr>
              <w:t>6.132</w:t>
            </w:r>
          </w:p>
        </w:tc>
      </w:tr>
      <w:tr w:rsidR="000D2156" w:rsidTr="000D2156">
        <w:tc>
          <w:tcPr>
            <w:tcW w:w="3261" w:type="dxa"/>
          </w:tcPr>
          <w:p w:rsidR="000D2156" w:rsidRPr="008F0AB5" w:rsidRDefault="000D2156" w:rsidP="000D2156">
            <w:pPr>
              <w:jc w:val="both"/>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ED1409">
            <w:pPr>
              <w:jc w:val="right"/>
              <w:rPr>
                <w:sz w:val="23"/>
                <w:szCs w:val="23"/>
              </w:rPr>
            </w:pPr>
            <w:r>
              <w:rPr>
                <w:sz w:val="23"/>
                <w:szCs w:val="23"/>
              </w:rPr>
              <w:t>2.600</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0D2156">
            <w:pPr>
              <w:jc w:val="both"/>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ED1409">
            <w:pPr>
              <w:jc w:val="right"/>
              <w:rPr>
                <w:sz w:val="23"/>
                <w:szCs w:val="23"/>
              </w:rPr>
            </w:pPr>
            <w:r>
              <w:rPr>
                <w:sz w:val="23"/>
                <w:szCs w:val="23"/>
              </w:rPr>
              <w:t>2.000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0.250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0.730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1.180</w:t>
            </w:r>
          </w:p>
        </w:tc>
        <w:tc>
          <w:tcPr>
            <w:tcW w:w="1196" w:type="dxa"/>
            <w:tcBorders>
              <w:bottom w:val="single" w:sz="4" w:space="0" w:color="auto"/>
            </w:tcBorders>
          </w:tcPr>
          <w:p w:rsidR="000D2156" w:rsidRPr="00A0434A" w:rsidRDefault="000D2156" w:rsidP="00ED1409">
            <w:pPr>
              <w:jc w:val="right"/>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0D2156">
            <w:pPr>
              <w:rPr>
                <w:b/>
              </w:rPr>
            </w:pPr>
            <w:r w:rsidRPr="008F0AB5">
              <w:rPr>
                <w:b/>
              </w:rPr>
              <w:t>Impact of the review of costs</w:t>
            </w:r>
          </w:p>
        </w:tc>
        <w:tc>
          <w:tcPr>
            <w:tcW w:w="1275" w:type="dxa"/>
            <w:tcBorders>
              <w:bottom w:val="single" w:sz="4" w:space="0" w:color="auto"/>
            </w:tcBorders>
            <w:vAlign w:val="center"/>
          </w:tcPr>
          <w:p w:rsidR="000D2156" w:rsidRPr="008F0AB5" w:rsidRDefault="0065407E" w:rsidP="00ED1409">
            <w:pPr>
              <w:jc w:val="right"/>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ED1409">
            <w:pPr>
              <w:jc w:val="right"/>
              <w:rPr>
                <w:b/>
              </w:rPr>
            </w:pPr>
            <w:r>
              <w:rPr>
                <w:b/>
              </w:rPr>
              <w:t>3.</w:t>
            </w:r>
            <w:r w:rsidR="00AA739E">
              <w:rPr>
                <w:b/>
              </w:rPr>
              <w:t>793</w:t>
            </w:r>
          </w:p>
        </w:tc>
        <w:tc>
          <w:tcPr>
            <w:tcW w:w="1134" w:type="dxa"/>
            <w:tcBorders>
              <w:bottom w:val="single" w:sz="4" w:space="0" w:color="auto"/>
            </w:tcBorders>
            <w:vAlign w:val="center"/>
          </w:tcPr>
          <w:p w:rsidR="000D2156" w:rsidRPr="008F0AB5" w:rsidRDefault="00AA739E" w:rsidP="00ED1409">
            <w:pPr>
              <w:jc w:val="right"/>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ED1409">
            <w:pPr>
              <w:jc w:val="right"/>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AA739E">
            <w:pPr>
              <w:jc w:val="right"/>
              <w:rPr>
                <w:b/>
              </w:rPr>
            </w:pPr>
            <w:r>
              <w:rPr>
                <w:b/>
              </w:rPr>
              <w:t>1</w:t>
            </w:r>
            <w:r w:rsidR="00AA739E">
              <w:rPr>
                <w:b/>
              </w:rPr>
              <w:t>6</w:t>
            </w:r>
            <w:r>
              <w:rPr>
                <w:b/>
              </w:rPr>
              <w:t>.</w:t>
            </w:r>
            <w:r w:rsidR="00AA739E">
              <w:rPr>
                <w:b/>
              </w:rPr>
              <w:t>671</w:t>
            </w:r>
          </w:p>
        </w:tc>
      </w:tr>
    </w:tbl>
    <w:p w:rsidR="000D2156" w:rsidRDefault="000D2156" w:rsidP="000D2156">
      <w:pPr>
        <w:rPr>
          <w:szCs w:val="24"/>
        </w:rPr>
      </w:pPr>
    </w:p>
    <w:p w:rsidR="000D2156" w:rsidRPr="000D2156" w:rsidRDefault="000D2156" w:rsidP="000D2156">
      <w:pPr>
        <w:pStyle w:val="ListParagraph"/>
        <w:numPr>
          <w:ilvl w:val="1"/>
          <w:numId w:val="1"/>
        </w:numPr>
        <w:rPr>
          <w:szCs w:val="24"/>
        </w:rPr>
      </w:pPr>
      <w:r w:rsidRPr="000D2156">
        <w:rPr>
          <w:i/>
          <w:szCs w:val="24"/>
        </w:rPr>
        <w:t>The 10% Challenge</w:t>
      </w:r>
    </w:p>
    <w:p w:rsidR="000D2156" w:rsidRDefault="000D2156" w:rsidP="00DE1265">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xml:space="preserve">– to save the County Council 10% of its costs giving a continued focus on driving out waste and increasing efficiency. It is standard practice in many organisations to expect </w:t>
      </w:r>
      <w:r w:rsidRPr="00913B48">
        <w:rPr>
          <w:rFonts w:ascii="Arial" w:hAnsi="Arial" w:cs="Arial"/>
          <w:b w:val="0"/>
          <w:sz w:val="24"/>
          <w:szCs w:val="24"/>
        </w:rPr>
        <w:lastRenderedPageBreak/>
        <w:t>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further efficiency savings of £19.1m have been identified over the next two financial years.</w:t>
      </w:r>
    </w:p>
    <w:p w:rsidR="000D2156" w:rsidRDefault="000D2156" w:rsidP="000D2156">
      <w:pPr>
        <w:pStyle w:val="Heading1"/>
        <w:rPr>
          <w:rFonts w:ascii="Arial" w:hAnsi="Arial" w:cs="Arial"/>
          <w:b w:val="0"/>
          <w:sz w:val="24"/>
          <w:szCs w:val="24"/>
        </w:rPr>
      </w:pPr>
      <w:r>
        <w:rPr>
          <w:rFonts w:ascii="Arial" w:hAnsi="Arial" w:cs="Arial"/>
          <w:b w:val="0"/>
          <w:sz w:val="24"/>
          <w:szCs w:val="24"/>
        </w:rPr>
        <w:t>These savings are mostly small savings identified by staff where they believe there is the opportunity to reduce costs without any impact on services. The proposals have all been agreed by Directorate Management Teams as efficiency measures and include:</w:t>
      </w:r>
    </w:p>
    <w:p w:rsidR="00BE6085" w:rsidRDefault="000D2156">
      <w:pPr>
        <w:pStyle w:val="ListParagraph"/>
        <w:numPr>
          <w:ilvl w:val="0"/>
          <w:numId w:val="6"/>
        </w:numPr>
      </w:pPr>
      <w:r>
        <w:t>Reductions in supplies and services budgets and squeezing of costs</w:t>
      </w:r>
    </w:p>
    <w:p w:rsidR="00BE6085" w:rsidRDefault="000D2156">
      <w:pPr>
        <w:pStyle w:val="ListParagraph"/>
        <w:numPr>
          <w:ilvl w:val="0"/>
          <w:numId w:val="6"/>
        </w:numPr>
      </w:pPr>
      <w:r>
        <w:t xml:space="preserve">Removal of vacancies and reductions in hours </w:t>
      </w:r>
    </w:p>
    <w:p w:rsidR="002D44C9" w:rsidRDefault="000D2156">
      <w:pPr>
        <w:pStyle w:val="ListParagraph"/>
        <w:numPr>
          <w:ilvl w:val="0"/>
          <w:numId w:val="6"/>
        </w:numPr>
      </w:pPr>
      <w:r>
        <w:t>Changes in planning and processes to enable reductions in staffing levels (eg improved route planning in the delivery of routine maintenance).</w:t>
      </w:r>
    </w:p>
    <w:p w:rsidR="000D2156" w:rsidRDefault="000D2156" w:rsidP="00546EA6">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755" w:type="pct"/>
        <w:tblInd w:w="250" w:type="dxa"/>
        <w:tblLook w:val="04A0" w:firstRow="1" w:lastRow="0" w:firstColumn="1" w:lastColumn="0" w:noHBand="0" w:noVBand="1"/>
      </w:tblPr>
      <w:tblGrid>
        <w:gridCol w:w="4254"/>
        <w:gridCol w:w="1559"/>
        <w:gridCol w:w="1348"/>
        <w:gridCol w:w="1628"/>
      </w:tblGrid>
      <w:tr w:rsidR="000D2156" w:rsidRPr="00C048B4" w:rsidTr="000D2156">
        <w:trPr>
          <w:trHeight w:val="630"/>
        </w:trPr>
        <w:tc>
          <w:tcPr>
            <w:tcW w:w="2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0D2156">
            <w:pPr>
              <w:rPr>
                <w:b/>
                <w:lang w:eastAsia="en-GB"/>
              </w:rPr>
            </w:pPr>
            <w:r>
              <w:rPr>
                <w:b/>
                <w:lang w:eastAsia="en-GB"/>
              </w:rPr>
              <w:t>Directorate</w:t>
            </w:r>
            <w:r w:rsidRPr="00C048B4">
              <w:rPr>
                <w:b/>
                <w:lang w:eastAsia="en-GB"/>
              </w:rPr>
              <w:t xml:space="preserve"> </w:t>
            </w:r>
          </w:p>
        </w:tc>
        <w:tc>
          <w:tcPr>
            <w:tcW w:w="887"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2014/15      £m</w:t>
            </w:r>
          </w:p>
        </w:tc>
        <w:tc>
          <w:tcPr>
            <w:tcW w:w="767"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2015/16      £m</w:t>
            </w:r>
          </w:p>
        </w:tc>
        <w:tc>
          <w:tcPr>
            <w:tcW w:w="926"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0D2156">
            <w:pPr>
              <w:ind w:left="33"/>
              <w:jc w:val="center"/>
              <w:rPr>
                <w:b/>
                <w:lang w:eastAsia="en-GB"/>
              </w:rPr>
            </w:pPr>
            <w:r w:rsidRPr="00C048B4">
              <w:rPr>
                <w:b/>
                <w:lang w:eastAsia="en-GB"/>
              </w:rPr>
              <w:t>Total           £m</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Adult Services, Health and Well-being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6.</w:t>
            </w:r>
            <w:r>
              <w:rPr>
                <w:lang w:eastAsia="en-GB"/>
              </w:rPr>
              <w:t>266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2.005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8.</w:t>
            </w:r>
            <w:r>
              <w:rPr>
                <w:lang w:eastAsia="en-GB"/>
              </w:rPr>
              <w:t>271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Children and Young Peoples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2.931</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2.931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Environment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5.156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0.7</w:t>
            </w:r>
            <w:r>
              <w:rPr>
                <w:lang w:eastAsia="en-GB"/>
              </w:rPr>
              <w:t>79</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5.9</w:t>
            </w:r>
            <w:r>
              <w:rPr>
                <w:lang w:eastAsia="en-GB"/>
              </w:rPr>
              <w:t>35</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County Treasurer's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0.307</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0.025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0.332</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Lancashire County Commercial Group</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The Office of the Chief Executive</w:t>
            </w:r>
            <w:r>
              <w:rPr>
                <w:lang w:eastAsia="en-GB"/>
              </w:rPr>
              <w:t xml:space="preserve"> </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r>
      <w:tr w:rsidR="000D2156" w:rsidRPr="00C048B4" w:rsidTr="000D2156">
        <w:trPr>
          <w:trHeight w:val="315"/>
        </w:trPr>
        <w:tc>
          <w:tcPr>
            <w:tcW w:w="242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0D2156">
            <w:pPr>
              <w:rPr>
                <w:b/>
                <w:bCs/>
                <w:color w:val="000000"/>
                <w:lang w:eastAsia="en-GB"/>
              </w:rPr>
            </w:pPr>
            <w:r w:rsidRPr="00C048B4">
              <w:rPr>
                <w:b/>
                <w:bCs/>
                <w:color w:val="000000"/>
                <w:lang w:eastAsia="en-GB"/>
              </w:rPr>
              <w:t> Total</w:t>
            </w:r>
          </w:p>
        </w:tc>
        <w:tc>
          <w:tcPr>
            <w:tcW w:w="887"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16.</w:t>
            </w:r>
            <w:r>
              <w:rPr>
                <w:b/>
                <w:bCs/>
                <w:color w:val="000000"/>
                <w:lang w:eastAsia="en-GB"/>
              </w:rPr>
              <w:t>272</w:t>
            </w:r>
          </w:p>
        </w:tc>
        <w:tc>
          <w:tcPr>
            <w:tcW w:w="767"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2.809</w:t>
            </w:r>
          </w:p>
        </w:tc>
        <w:tc>
          <w:tcPr>
            <w:tcW w:w="926"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0D2156">
      <w:pPr>
        <w:rPr>
          <w:szCs w:val="24"/>
        </w:rPr>
      </w:pPr>
    </w:p>
    <w:p w:rsidR="000D2156" w:rsidRPr="000D2156" w:rsidRDefault="000D2156" w:rsidP="000D2156">
      <w:pPr>
        <w:pStyle w:val="ListParagraph"/>
        <w:numPr>
          <w:ilvl w:val="1"/>
          <w:numId w:val="1"/>
        </w:numPr>
        <w:rPr>
          <w:szCs w:val="24"/>
        </w:rPr>
      </w:pPr>
      <w:r w:rsidRPr="000D2156">
        <w:rPr>
          <w:i/>
          <w:szCs w:val="24"/>
        </w:rPr>
        <w:t>Reducing the Costs of Being in Business</w:t>
      </w:r>
    </w:p>
    <w:p w:rsidR="000D2156" w:rsidRDefault="000D2156" w:rsidP="00DE1265">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£17.4m have been identified where the cost of being in business can be reduced, with no impact on the level, or quality of services provided by the County Council to communities. These are set out in the table below:</w:t>
      </w:r>
    </w:p>
    <w:p w:rsidR="00546EA6" w:rsidRDefault="00546EA6" w:rsidP="000D2156">
      <w:pPr>
        <w:pStyle w:val="NormalWeb"/>
        <w:rPr>
          <w:rFonts w:ascii="Arial" w:hAnsi="Arial" w:cs="Arial"/>
        </w:rPr>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0D2156" w:rsidRPr="008F0AB5" w:rsidTr="000D2156">
        <w:trPr>
          <w:tblHeader/>
        </w:trPr>
        <w:tc>
          <w:tcPr>
            <w:tcW w:w="3970" w:type="dxa"/>
          </w:tcPr>
          <w:p w:rsidR="000D2156" w:rsidRPr="008F0AB5" w:rsidRDefault="000D2156" w:rsidP="000D2156">
            <w:pPr>
              <w:jc w:val="center"/>
              <w:rPr>
                <w:b/>
                <w:sz w:val="23"/>
                <w:szCs w:val="23"/>
              </w:rPr>
            </w:pPr>
            <w:r w:rsidRPr="008F0AB5">
              <w:rPr>
                <w:b/>
                <w:sz w:val="23"/>
                <w:szCs w:val="23"/>
              </w:rPr>
              <w:lastRenderedPageBreak/>
              <w:t>Area</w:t>
            </w:r>
            <w:r>
              <w:rPr>
                <w:b/>
                <w:sz w:val="23"/>
                <w:szCs w:val="23"/>
              </w:rPr>
              <w:t xml:space="preserve"> of Cost to be Reduced</w:t>
            </w:r>
          </w:p>
        </w:tc>
        <w:tc>
          <w:tcPr>
            <w:tcW w:w="1220"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078"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054"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RPr="008F0AB5" w:rsidTr="000D2156">
        <w:tc>
          <w:tcPr>
            <w:tcW w:w="3970" w:type="dxa"/>
          </w:tcPr>
          <w:p w:rsidR="000D2156" w:rsidRPr="008F0AB5" w:rsidRDefault="000D2156" w:rsidP="000D2156">
            <w:pPr>
              <w:jc w:val="both"/>
              <w:rPr>
                <w:sz w:val="23"/>
                <w:szCs w:val="23"/>
              </w:rPr>
            </w:pPr>
            <w:r>
              <w:rPr>
                <w:sz w:val="23"/>
                <w:szCs w:val="23"/>
              </w:rPr>
              <w:t>Contribution of Public Health to the County Council's overheads – calculation of the appropriate share in accordance with proper accounting practice</w:t>
            </w:r>
          </w:p>
        </w:tc>
        <w:tc>
          <w:tcPr>
            <w:tcW w:w="1220" w:type="dxa"/>
          </w:tcPr>
          <w:p w:rsidR="000D2156" w:rsidRPr="008F0AB5" w:rsidRDefault="000D2156" w:rsidP="00ED1409">
            <w:pPr>
              <w:jc w:val="right"/>
              <w:rPr>
                <w:sz w:val="23"/>
                <w:szCs w:val="23"/>
              </w:rPr>
            </w:pPr>
            <w:r>
              <w:rPr>
                <w:sz w:val="23"/>
                <w:szCs w:val="23"/>
              </w:rPr>
              <w:t>1.050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1.050</w:t>
            </w:r>
          </w:p>
        </w:tc>
      </w:tr>
      <w:tr w:rsidR="000D2156" w:rsidRPr="008F0AB5" w:rsidTr="000D2156">
        <w:tc>
          <w:tcPr>
            <w:tcW w:w="3970" w:type="dxa"/>
          </w:tcPr>
          <w:p w:rsidR="000D2156" w:rsidRPr="008F0AB5" w:rsidRDefault="000D2156" w:rsidP="005F0BE6">
            <w:pPr>
              <w:jc w:val="both"/>
              <w:rPr>
                <w:sz w:val="23"/>
                <w:szCs w:val="23"/>
              </w:rPr>
            </w:pPr>
            <w:r>
              <w:rPr>
                <w:sz w:val="23"/>
                <w:szCs w:val="23"/>
              </w:rPr>
              <w:t>Reduced process costs within the Environment Direction as a result of the implementation of fit for purpose asset management systems for highways and property</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0.900</w:t>
            </w:r>
          </w:p>
        </w:tc>
        <w:tc>
          <w:tcPr>
            <w:tcW w:w="1054" w:type="dxa"/>
          </w:tcPr>
          <w:p w:rsidR="000D2156" w:rsidRPr="008F0AB5" w:rsidRDefault="000D2156" w:rsidP="00ED1409">
            <w:pPr>
              <w:jc w:val="right"/>
              <w:rPr>
                <w:sz w:val="23"/>
                <w:szCs w:val="23"/>
              </w:rPr>
            </w:pPr>
            <w:r>
              <w:rPr>
                <w:sz w:val="23"/>
                <w:szCs w:val="23"/>
              </w:rPr>
              <w:t>0.900</w:t>
            </w:r>
          </w:p>
        </w:tc>
      </w:tr>
      <w:tr w:rsidR="000D2156" w:rsidRPr="008F0AB5" w:rsidTr="000D2156">
        <w:tc>
          <w:tcPr>
            <w:tcW w:w="3970" w:type="dxa"/>
          </w:tcPr>
          <w:p w:rsidR="000D2156" w:rsidRPr="008F0AB5" w:rsidRDefault="000D2156" w:rsidP="000D2156">
            <w:pPr>
              <w:jc w:val="both"/>
              <w:rPr>
                <w:sz w:val="23"/>
                <w:szCs w:val="23"/>
              </w:rPr>
            </w:pPr>
            <w:r>
              <w:rPr>
                <w:sz w:val="23"/>
                <w:szCs w:val="23"/>
              </w:rPr>
              <w:t>Reduction in printing and postage costs</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8F0AB5" w:rsidRDefault="000D2156" w:rsidP="000D2156">
            <w:pPr>
              <w:jc w:val="both"/>
              <w:rPr>
                <w:sz w:val="23"/>
                <w:szCs w:val="23"/>
              </w:rPr>
            </w:pPr>
            <w:r>
              <w:rPr>
                <w:sz w:val="23"/>
                <w:szCs w:val="23"/>
              </w:rPr>
              <w:t xml:space="preserve">Management of business mileage through greater use of tele-conferencing and reducing the requirement to travel to meetings </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8F0AB5" w:rsidRDefault="000D2156" w:rsidP="000D2156">
            <w:pPr>
              <w:jc w:val="both"/>
              <w:rPr>
                <w:sz w:val="23"/>
                <w:szCs w:val="23"/>
              </w:rPr>
            </w:pPr>
            <w:r>
              <w:rPr>
                <w:sz w:val="23"/>
                <w:szCs w:val="23"/>
              </w:rPr>
              <w:t>Reduction in accommodation costs as a result of the downsizing of the County Council</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5.000</w:t>
            </w:r>
          </w:p>
        </w:tc>
        <w:tc>
          <w:tcPr>
            <w:tcW w:w="1054" w:type="dxa"/>
          </w:tcPr>
          <w:p w:rsidR="000D2156" w:rsidRPr="008F0AB5" w:rsidRDefault="000D2156" w:rsidP="00ED1409">
            <w:pPr>
              <w:jc w:val="right"/>
              <w:rPr>
                <w:sz w:val="23"/>
                <w:szCs w:val="23"/>
              </w:rPr>
            </w:pPr>
            <w:r>
              <w:rPr>
                <w:sz w:val="23"/>
                <w:szCs w:val="23"/>
              </w:rPr>
              <w:t>5.000</w:t>
            </w:r>
          </w:p>
        </w:tc>
      </w:tr>
      <w:tr w:rsidR="000D2156" w:rsidRPr="00A0434A" w:rsidTr="000D2156">
        <w:tc>
          <w:tcPr>
            <w:tcW w:w="3970" w:type="dxa"/>
          </w:tcPr>
          <w:p w:rsidR="000D2156" w:rsidRPr="00A0434A" w:rsidRDefault="000D2156" w:rsidP="000D2156">
            <w:pPr>
              <w:jc w:val="both"/>
              <w:rPr>
                <w:sz w:val="23"/>
                <w:szCs w:val="23"/>
              </w:rPr>
            </w:pPr>
            <w:r>
              <w:rPr>
                <w:sz w:val="23"/>
                <w:szCs w:val="23"/>
              </w:rPr>
              <w:t>Review of business intelligence support services to join up resources across the County Council</w:t>
            </w:r>
          </w:p>
        </w:tc>
        <w:tc>
          <w:tcPr>
            <w:tcW w:w="1220" w:type="dxa"/>
          </w:tcPr>
          <w:p w:rsidR="000D2156" w:rsidRPr="00A0434A" w:rsidRDefault="000D2156" w:rsidP="00ED1409">
            <w:pPr>
              <w:jc w:val="right"/>
              <w:rPr>
                <w:sz w:val="23"/>
                <w:szCs w:val="23"/>
              </w:rPr>
            </w:pPr>
            <w:r>
              <w:rPr>
                <w:sz w:val="23"/>
                <w:szCs w:val="23"/>
              </w:rPr>
              <w:t>0.400</w:t>
            </w:r>
          </w:p>
        </w:tc>
        <w:tc>
          <w:tcPr>
            <w:tcW w:w="1048" w:type="dxa"/>
          </w:tcPr>
          <w:p w:rsidR="000D2156" w:rsidRPr="00A0434A" w:rsidRDefault="000D2156" w:rsidP="00ED1409">
            <w:pPr>
              <w:jc w:val="right"/>
              <w:rPr>
                <w:sz w:val="23"/>
                <w:szCs w:val="23"/>
              </w:rPr>
            </w:pPr>
            <w:r>
              <w:rPr>
                <w:sz w:val="23"/>
                <w:szCs w:val="23"/>
              </w:rPr>
              <w:t>0.400</w:t>
            </w:r>
          </w:p>
        </w:tc>
        <w:tc>
          <w:tcPr>
            <w:tcW w:w="1078" w:type="dxa"/>
          </w:tcPr>
          <w:p w:rsidR="000D2156" w:rsidRPr="00A0434A" w:rsidRDefault="000D2156" w:rsidP="00ED1409">
            <w:pPr>
              <w:jc w:val="right"/>
              <w:rPr>
                <w:sz w:val="23"/>
                <w:szCs w:val="23"/>
              </w:rPr>
            </w:pPr>
            <w:r>
              <w:rPr>
                <w:sz w:val="23"/>
                <w:szCs w:val="23"/>
              </w:rPr>
              <w:t>0.100</w:t>
            </w:r>
          </w:p>
        </w:tc>
        <w:tc>
          <w:tcPr>
            <w:tcW w:w="1048" w:type="dxa"/>
          </w:tcPr>
          <w:p w:rsidR="000D2156" w:rsidRPr="00A0434A" w:rsidRDefault="000D2156" w:rsidP="00ED1409">
            <w:pPr>
              <w:jc w:val="right"/>
              <w:rPr>
                <w:sz w:val="23"/>
                <w:szCs w:val="23"/>
              </w:rPr>
            </w:pPr>
            <w:r>
              <w:rPr>
                <w:sz w:val="23"/>
                <w:szCs w:val="23"/>
              </w:rPr>
              <w:t>0.100</w:t>
            </w:r>
          </w:p>
        </w:tc>
        <w:tc>
          <w:tcPr>
            <w:tcW w:w="1054" w:type="dxa"/>
          </w:tcPr>
          <w:p w:rsidR="000D2156" w:rsidRPr="00A0434A" w:rsidRDefault="000D2156" w:rsidP="00ED1409">
            <w:pPr>
              <w:jc w:val="right"/>
              <w:rPr>
                <w:sz w:val="23"/>
                <w:szCs w:val="23"/>
              </w:rPr>
            </w:pPr>
            <w:r>
              <w:rPr>
                <w:sz w:val="23"/>
                <w:szCs w:val="23"/>
              </w:rPr>
              <w:t>1.000</w:t>
            </w:r>
          </w:p>
        </w:tc>
      </w:tr>
      <w:tr w:rsidR="000D2156" w:rsidRPr="00A0434A" w:rsidTr="000D2156">
        <w:tc>
          <w:tcPr>
            <w:tcW w:w="3970" w:type="dxa"/>
          </w:tcPr>
          <w:p w:rsidR="000D2156" w:rsidRDefault="000D2156" w:rsidP="000D2156">
            <w:pPr>
              <w:jc w:val="both"/>
              <w:rPr>
                <w:sz w:val="23"/>
                <w:szCs w:val="23"/>
              </w:rPr>
            </w:pPr>
            <w:r>
              <w:rPr>
                <w:sz w:val="23"/>
                <w:szCs w:val="23"/>
              </w:rPr>
              <w:t>Reducing the cost of the County Treasurer's Directorate to reflect the downsizing of the County Council</w:t>
            </w:r>
          </w:p>
        </w:tc>
        <w:tc>
          <w:tcPr>
            <w:tcW w:w="1220" w:type="dxa"/>
          </w:tcPr>
          <w:p w:rsidR="000D2156" w:rsidRDefault="000D2156" w:rsidP="00ED1409">
            <w:pPr>
              <w:jc w:val="right"/>
              <w:rPr>
                <w:sz w:val="23"/>
                <w:szCs w:val="23"/>
              </w:rPr>
            </w:pPr>
            <w:r>
              <w:rPr>
                <w:sz w:val="23"/>
                <w:szCs w:val="23"/>
              </w:rPr>
              <w:t>0.303</w:t>
            </w:r>
          </w:p>
        </w:tc>
        <w:tc>
          <w:tcPr>
            <w:tcW w:w="1048" w:type="dxa"/>
          </w:tcPr>
          <w:p w:rsidR="000D2156" w:rsidRDefault="000D2156" w:rsidP="00ED1409">
            <w:pPr>
              <w:jc w:val="right"/>
              <w:rPr>
                <w:sz w:val="23"/>
                <w:szCs w:val="23"/>
              </w:rPr>
            </w:pPr>
            <w:r>
              <w:rPr>
                <w:sz w:val="23"/>
                <w:szCs w:val="23"/>
              </w:rPr>
              <w:t>0.180</w:t>
            </w:r>
          </w:p>
        </w:tc>
        <w:tc>
          <w:tcPr>
            <w:tcW w:w="1078" w:type="dxa"/>
          </w:tcPr>
          <w:p w:rsidR="000D2156" w:rsidRDefault="000D2156" w:rsidP="00ED1409">
            <w:pPr>
              <w:jc w:val="right"/>
              <w:rPr>
                <w:sz w:val="23"/>
                <w:szCs w:val="23"/>
              </w:rPr>
            </w:pPr>
            <w:r>
              <w:rPr>
                <w:sz w:val="23"/>
                <w:szCs w:val="23"/>
              </w:rPr>
              <w:t>0.707</w:t>
            </w:r>
          </w:p>
        </w:tc>
        <w:tc>
          <w:tcPr>
            <w:tcW w:w="1048" w:type="dxa"/>
          </w:tcPr>
          <w:p w:rsidR="000D2156" w:rsidRDefault="000D2156" w:rsidP="00ED1409">
            <w:pPr>
              <w:jc w:val="right"/>
              <w:rPr>
                <w:sz w:val="23"/>
                <w:szCs w:val="23"/>
              </w:rPr>
            </w:pPr>
            <w:r>
              <w:rPr>
                <w:sz w:val="23"/>
                <w:szCs w:val="23"/>
              </w:rPr>
              <w:t>0.229</w:t>
            </w:r>
          </w:p>
        </w:tc>
        <w:tc>
          <w:tcPr>
            <w:tcW w:w="1054" w:type="dxa"/>
          </w:tcPr>
          <w:p w:rsidR="000D2156" w:rsidRDefault="000D2156" w:rsidP="00ED1409">
            <w:pPr>
              <w:jc w:val="right"/>
              <w:rPr>
                <w:sz w:val="23"/>
                <w:szCs w:val="23"/>
              </w:rPr>
            </w:pPr>
            <w:r>
              <w:rPr>
                <w:sz w:val="23"/>
                <w:szCs w:val="23"/>
              </w:rPr>
              <w:t>1.419</w:t>
            </w:r>
          </w:p>
        </w:tc>
      </w:tr>
      <w:tr w:rsidR="000D2156" w:rsidRPr="00A0434A" w:rsidTr="000D2156">
        <w:tc>
          <w:tcPr>
            <w:tcW w:w="3970" w:type="dxa"/>
          </w:tcPr>
          <w:p w:rsidR="000D2156" w:rsidRDefault="000D2156" w:rsidP="000D2156">
            <w:pPr>
              <w:jc w:val="both"/>
              <w:rPr>
                <w:sz w:val="23"/>
                <w:szCs w:val="23"/>
              </w:rPr>
            </w:pPr>
            <w:r>
              <w:rPr>
                <w:sz w:val="23"/>
                <w:szCs w:val="23"/>
              </w:rPr>
              <w:t>Reflecting actual spending levels within the Corporate Expenditure budget</w:t>
            </w:r>
          </w:p>
        </w:tc>
        <w:tc>
          <w:tcPr>
            <w:tcW w:w="1220" w:type="dxa"/>
          </w:tcPr>
          <w:p w:rsidR="000D2156" w:rsidRDefault="000D2156" w:rsidP="00ED1409">
            <w:pPr>
              <w:jc w:val="right"/>
              <w:rPr>
                <w:sz w:val="23"/>
                <w:szCs w:val="23"/>
              </w:rPr>
            </w:pPr>
            <w:r>
              <w:rPr>
                <w:sz w:val="23"/>
                <w:szCs w:val="23"/>
              </w:rPr>
              <w:t>0.210</w:t>
            </w:r>
          </w:p>
        </w:tc>
        <w:tc>
          <w:tcPr>
            <w:tcW w:w="1048" w:type="dxa"/>
          </w:tcPr>
          <w:p w:rsidR="000D2156" w:rsidRDefault="000D2156" w:rsidP="00ED1409">
            <w:pPr>
              <w:jc w:val="right"/>
              <w:rPr>
                <w:sz w:val="23"/>
                <w:szCs w:val="23"/>
              </w:rPr>
            </w:pPr>
            <w:r>
              <w:rPr>
                <w:sz w:val="23"/>
                <w:szCs w:val="23"/>
              </w:rPr>
              <w:t>-</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0.210</w:t>
            </w:r>
          </w:p>
        </w:tc>
      </w:tr>
      <w:tr w:rsidR="000D2156" w:rsidRPr="00A0434A" w:rsidTr="000D2156">
        <w:tc>
          <w:tcPr>
            <w:tcW w:w="3970" w:type="dxa"/>
          </w:tcPr>
          <w:p w:rsidR="000D2156" w:rsidRDefault="000D2156" w:rsidP="000D2156">
            <w:pPr>
              <w:jc w:val="both"/>
              <w:rPr>
                <w:sz w:val="23"/>
                <w:szCs w:val="23"/>
              </w:rPr>
            </w:pPr>
            <w:r>
              <w:rPr>
                <w:sz w:val="23"/>
                <w:szCs w:val="23"/>
              </w:rPr>
              <w:t>Reviewing the Treasury Management Strategy to reflect normal practice in stock lending, reduction in prices and realignment of loan charges</w:t>
            </w:r>
          </w:p>
        </w:tc>
        <w:tc>
          <w:tcPr>
            <w:tcW w:w="1220" w:type="dxa"/>
          </w:tcPr>
          <w:p w:rsidR="000D2156" w:rsidRDefault="000D2156" w:rsidP="00ED1409">
            <w:pPr>
              <w:jc w:val="right"/>
              <w:rPr>
                <w:sz w:val="23"/>
                <w:szCs w:val="23"/>
              </w:rPr>
            </w:pPr>
            <w:r>
              <w:rPr>
                <w:sz w:val="23"/>
                <w:szCs w:val="23"/>
              </w:rPr>
              <w:t>1.675</w:t>
            </w:r>
          </w:p>
        </w:tc>
        <w:tc>
          <w:tcPr>
            <w:tcW w:w="1048" w:type="dxa"/>
          </w:tcPr>
          <w:p w:rsidR="000D2156" w:rsidRDefault="000D2156" w:rsidP="00ED1409">
            <w:pPr>
              <w:jc w:val="right"/>
              <w:rPr>
                <w:sz w:val="23"/>
                <w:szCs w:val="23"/>
              </w:rPr>
            </w:pPr>
            <w:r>
              <w:rPr>
                <w:sz w:val="23"/>
                <w:szCs w:val="23"/>
              </w:rPr>
              <w:t>0.600</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2.275</w:t>
            </w:r>
          </w:p>
        </w:tc>
      </w:tr>
      <w:tr w:rsidR="000D2156" w:rsidRPr="00A0434A" w:rsidTr="000D2156">
        <w:tc>
          <w:tcPr>
            <w:tcW w:w="3970" w:type="dxa"/>
          </w:tcPr>
          <w:p w:rsidR="000D2156" w:rsidRDefault="000D2156" w:rsidP="000D2156">
            <w:pPr>
              <w:jc w:val="both"/>
              <w:rPr>
                <w:sz w:val="23"/>
                <w:szCs w:val="23"/>
              </w:rPr>
            </w:pPr>
            <w:r>
              <w:rPr>
                <w:sz w:val="23"/>
                <w:szCs w:val="23"/>
              </w:rPr>
              <w:t>Reduction in the cost of waste</w:t>
            </w:r>
          </w:p>
        </w:tc>
        <w:tc>
          <w:tcPr>
            <w:tcW w:w="1220"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0.500</w:t>
            </w:r>
          </w:p>
        </w:tc>
        <w:tc>
          <w:tcPr>
            <w:tcW w:w="1078" w:type="dxa"/>
          </w:tcPr>
          <w:p w:rsidR="000D2156" w:rsidRDefault="000D2156" w:rsidP="00ED1409">
            <w:pPr>
              <w:jc w:val="right"/>
              <w:rPr>
                <w:sz w:val="23"/>
                <w:szCs w:val="23"/>
              </w:rPr>
            </w:pPr>
            <w:r>
              <w:rPr>
                <w:sz w:val="23"/>
                <w:szCs w:val="23"/>
              </w:rPr>
              <w:t>0.500</w:t>
            </w:r>
          </w:p>
        </w:tc>
        <w:tc>
          <w:tcPr>
            <w:tcW w:w="1048" w:type="dxa"/>
          </w:tcPr>
          <w:p w:rsidR="000D2156" w:rsidRDefault="000D2156" w:rsidP="00ED1409">
            <w:pPr>
              <w:jc w:val="right"/>
              <w:rPr>
                <w:sz w:val="23"/>
                <w:szCs w:val="23"/>
              </w:rPr>
            </w:pPr>
            <w:r>
              <w:rPr>
                <w:sz w:val="23"/>
                <w:szCs w:val="23"/>
              </w:rPr>
              <w:t>0.500</w:t>
            </w:r>
          </w:p>
        </w:tc>
        <w:tc>
          <w:tcPr>
            <w:tcW w:w="1054" w:type="dxa"/>
          </w:tcPr>
          <w:p w:rsidR="000D2156" w:rsidRDefault="000D2156" w:rsidP="00ED1409">
            <w:pPr>
              <w:jc w:val="right"/>
              <w:rPr>
                <w:sz w:val="23"/>
                <w:szCs w:val="23"/>
              </w:rPr>
            </w:pPr>
            <w:r>
              <w:rPr>
                <w:sz w:val="23"/>
                <w:szCs w:val="23"/>
              </w:rPr>
              <w:t>1.500</w:t>
            </w:r>
          </w:p>
        </w:tc>
      </w:tr>
      <w:tr w:rsidR="000D2156" w:rsidRPr="00A0434A" w:rsidTr="000D2156">
        <w:tc>
          <w:tcPr>
            <w:tcW w:w="3970" w:type="dxa"/>
          </w:tcPr>
          <w:p w:rsidR="000D2156" w:rsidRDefault="000D2156" w:rsidP="000D2156">
            <w:pPr>
              <w:jc w:val="both"/>
              <w:rPr>
                <w:sz w:val="23"/>
                <w:szCs w:val="23"/>
              </w:rPr>
            </w:pPr>
            <w:r>
              <w:rPr>
                <w:sz w:val="23"/>
                <w:szCs w:val="23"/>
              </w:rPr>
              <w:t>Impact of the previously approved revised approach to energy management</w:t>
            </w:r>
          </w:p>
        </w:tc>
        <w:tc>
          <w:tcPr>
            <w:tcW w:w="1220" w:type="dxa"/>
          </w:tcPr>
          <w:p w:rsidR="000D2156" w:rsidRDefault="000D2156" w:rsidP="00ED1409">
            <w:pPr>
              <w:jc w:val="right"/>
              <w:rPr>
                <w:sz w:val="23"/>
                <w:szCs w:val="23"/>
              </w:rPr>
            </w:pPr>
            <w:r>
              <w:rPr>
                <w:sz w:val="23"/>
                <w:szCs w:val="23"/>
              </w:rPr>
              <w:t>0.885</w:t>
            </w:r>
          </w:p>
        </w:tc>
        <w:tc>
          <w:tcPr>
            <w:tcW w:w="1048" w:type="dxa"/>
          </w:tcPr>
          <w:p w:rsidR="000D2156" w:rsidRDefault="000D2156" w:rsidP="00ED1409">
            <w:pPr>
              <w:jc w:val="right"/>
              <w:rPr>
                <w:sz w:val="23"/>
                <w:szCs w:val="23"/>
              </w:rPr>
            </w:pPr>
            <w:r>
              <w:rPr>
                <w:sz w:val="23"/>
                <w:szCs w:val="23"/>
              </w:rPr>
              <w:t>0.121</w:t>
            </w:r>
          </w:p>
        </w:tc>
        <w:tc>
          <w:tcPr>
            <w:tcW w:w="1078" w:type="dxa"/>
          </w:tcPr>
          <w:p w:rsidR="000D2156" w:rsidRDefault="000D2156" w:rsidP="00ED1409">
            <w:pPr>
              <w:jc w:val="right"/>
              <w:rPr>
                <w:sz w:val="23"/>
                <w:szCs w:val="23"/>
              </w:rPr>
            </w:pPr>
            <w:r>
              <w:rPr>
                <w:sz w:val="23"/>
                <w:szCs w:val="23"/>
              </w:rPr>
              <w:t>1.006</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2.012</w:t>
            </w:r>
          </w:p>
        </w:tc>
      </w:tr>
      <w:tr w:rsidR="000D2156" w:rsidRPr="008F0AB5" w:rsidTr="000D2156">
        <w:trPr>
          <w:trHeight w:val="373"/>
        </w:trPr>
        <w:tc>
          <w:tcPr>
            <w:tcW w:w="3970" w:type="dxa"/>
            <w:vAlign w:val="center"/>
          </w:tcPr>
          <w:p w:rsidR="000D2156" w:rsidRPr="008F0AB5" w:rsidRDefault="000D2156" w:rsidP="000D2156">
            <w:pPr>
              <w:rPr>
                <w:b/>
              </w:rPr>
            </w:pPr>
            <w:r w:rsidRPr="008F0AB5">
              <w:rPr>
                <w:b/>
              </w:rPr>
              <w:t xml:space="preserve">Impact of </w:t>
            </w:r>
            <w:r>
              <w:rPr>
                <w:b/>
              </w:rPr>
              <w:t>reducing the cost of being in business</w:t>
            </w:r>
          </w:p>
        </w:tc>
        <w:tc>
          <w:tcPr>
            <w:tcW w:w="1220" w:type="dxa"/>
            <w:vAlign w:val="center"/>
          </w:tcPr>
          <w:p w:rsidR="000D2156" w:rsidRPr="008F0AB5" w:rsidRDefault="000D2156" w:rsidP="00ED1409">
            <w:pPr>
              <w:jc w:val="right"/>
              <w:rPr>
                <w:b/>
              </w:rPr>
            </w:pPr>
            <w:r>
              <w:rPr>
                <w:b/>
              </w:rPr>
              <w:t>6.523</w:t>
            </w:r>
          </w:p>
        </w:tc>
        <w:tc>
          <w:tcPr>
            <w:tcW w:w="1048" w:type="dxa"/>
            <w:vAlign w:val="center"/>
          </w:tcPr>
          <w:p w:rsidR="000D2156" w:rsidRPr="008F0AB5" w:rsidRDefault="000D2156" w:rsidP="00ED1409">
            <w:pPr>
              <w:jc w:val="right"/>
              <w:rPr>
                <w:b/>
              </w:rPr>
            </w:pPr>
            <w:r>
              <w:rPr>
                <w:b/>
              </w:rPr>
              <w:t>1.801</w:t>
            </w:r>
          </w:p>
        </w:tc>
        <w:tc>
          <w:tcPr>
            <w:tcW w:w="1078" w:type="dxa"/>
            <w:vAlign w:val="center"/>
          </w:tcPr>
          <w:p w:rsidR="000D2156" w:rsidRPr="008F0AB5" w:rsidRDefault="000D2156" w:rsidP="00ED1409">
            <w:pPr>
              <w:jc w:val="right"/>
              <w:rPr>
                <w:b/>
              </w:rPr>
            </w:pPr>
            <w:r>
              <w:rPr>
                <w:b/>
              </w:rPr>
              <w:t>2.313</w:t>
            </w:r>
          </w:p>
        </w:tc>
        <w:tc>
          <w:tcPr>
            <w:tcW w:w="1048" w:type="dxa"/>
            <w:vAlign w:val="center"/>
          </w:tcPr>
          <w:p w:rsidR="000D2156" w:rsidRPr="008F0AB5" w:rsidRDefault="000D2156" w:rsidP="00ED1409">
            <w:pPr>
              <w:jc w:val="right"/>
              <w:rPr>
                <w:b/>
              </w:rPr>
            </w:pPr>
            <w:r>
              <w:rPr>
                <w:b/>
              </w:rPr>
              <w:t>6.729</w:t>
            </w:r>
          </w:p>
        </w:tc>
        <w:tc>
          <w:tcPr>
            <w:tcW w:w="1054" w:type="dxa"/>
            <w:vAlign w:val="center"/>
          </w:tcPr>
          <w:p w:rsidR="000D2156" w:rsidRPr="008F0AB5" w:rsidRDefault="000D2156" w:rsidP="00ED1409">
            <w:pPr>
              <w:jc w:val="right"/>
              <w:rPr>
                <w:b/>
              </w:rPr>
            </w:pPr>
            <w:r>
              <w:rPr>
                <w:b/>
              </w:rPr>
              <w:t>17.366</w:t>
            </w:r>
          </w:p>
        </w:tc>
      </w:tr>
    </w:tbl>
    <w:p w:rsidR="000D2156" w:rsidRDefault="000D2156" w:rsidP="000D2156">
      <w:pPr>
        <w:pStyle w:val="ListParagraph"/>
        <w:ind w:left="360"/>
        <w:jc w:val="both"/>
        <w:rPr>
          <w:b/>
        </w:rPr>
      </w:pPr>
    </w:p>
    <w:p w:rsidR="005F0BE6" w:rsidRDefault="005F0BE6" w:rsidP="005F0BE6">
      <w:pPr>
        <w:pStyle w:val="ListParagraph"/>
        <w:numPr>
          <w:ilvl w:val="1"/>
          <w:numId w:val="1"/>
        </w:numPr>
        <w:jc w:val="both"/>
      </w:pPr>
      <w:r>
        <w:rPr>
          <w:i/>
        </w:rPr>
        <w:t>Policy Options</w:t>
      </w:r>
    </w:p>
    <w:p w:rsidR="00807A08" w:rsidRDefault="00807A08" w:rsidP="00DE1265">
      <w:pPr>
        <w:spacing w:after="0"/>
        <w:jc w:val="both"/>
      </w:pPr>
      <w:r>
        <w:t>As set out above, the County Council must deliver savings equivalent to almost 40% of its current budget. This, in addition to the £220m already delivered, cannot be achieved without impacting on services.</w:t>
      </w:r>
    </w:p>
    <w:p w:rsidR="00DE1265" w:rsidRDefault="00DE1265" w:rsidP="00DE1265">
      <w:pPr>
        <w:spacing w:after="0"/>
        <w:jc w:val="both"/>
      </w:pPr>
    </w:p>
    <w:p w:rsidR="005F0BE6" w:rsidRDefault="005F0BE6" w:rsidP="00DE1265">
      <w:pPr>
        <w:spacing w:after="0"/>
        <w:jc w:val="both"/>
      </w:pPr>
      <w:r>
        <w:t xml:space="preserve">Policy options are those budget proposals which have an impact on the services received by Lancashire's communities. </w:t>
      </w:r>
    </w:p>
    <w:p w:rsidR="005F0BE6" w:rsidRDefault="005F0BE6" w:rsidP="00DE1265">
      <w:pPr>
        <w:spacing w:after="0"/>
        <w:jc w:val="both"/>
      </w:pPr>
      <w:r>
        <w:lastRenderedPageBreak/>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DE1265" w:rsidRDefault="00DE1265" w:rsidP="00DE1265">
      <w:pPr>
        <w:spacing w:after="0"/>
        <w:jc w:val="both"/>
      </w:pPr>
    </w:p>
    <w:p w:rsidR="005F0BE6" w:rsidRDefault="005F0BE6" w:rsidP="00DE1265">
      <w:pPr>
        <w:spacing w:after="0"/>
        <w:jc w:val="both"/>
      </w:pPr>
      <w:r>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of getting the most out of the myriad of funding streams supporting this service</w:t>
      </w:r>
      <w:r>
        <w:t>.</w:t>
      </w:r>
      <w:r w:rsidR="00ED1409">
        <w:t xml:space="preserve"> A summary is provided below and </w:t>
      </w:r>
      <w:r w:rsidR="00807A08">
        <w:t>further information is attached.</w:t>
      </w:r>
    </w:p>
    <w:p w:rsidR="00DE1265" w:rsidRDefault="00DE1265" w:rsidP="00DE1265">
      <w:pPr>
        <w:spacing w:after="0"/>
        <w:jc w:val="both"/>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ED1409" w:rsidRPr="008F0AB5" w:rsidTr="00ED1409">
        <w:trPr>
          <w:tblHeader/>
        </w:trPr>
        <w:tc>
          <w:tcPr>
            <w:tcW w:w="3970" w:type="dxa"/>
          </w:tcPr>
          <w:p w:rsidR="00ED1409" w:rsidRPr="008F0AB5" w:rsidRDefault="00ED1409" w:rsidP="00ED1409">
            <w:pPr>
              <w:jc w:val="center"/>
              <w:rPr>
                <w:b/>
                <w:sz w:val="23"/>
                <w:szCs w:val="23"/>
              </w:rPr>
            </w:pPr>
            <w:r w:rsidRPr="008F0AB5">
              <w:rPr>
                <w:b/>
                <w:sz w:val="23"/>
                <w:szCs w:val="23"/>
              </w:rPr>
              <w:t>Area</w:t>
            </w:r>
            <w:r>
              <w:rPr>
                <w:b/>
                <w:sz w:val="23"/>
                <w:szCs w:val="23"/>
              </w:rPr>
              <w:t xml:space="preserve"> of Service to be Reshaped</w:t>
            </w:r>
          </w:p>
        </w:tc>
        <w:tc>
          <w:tcPr>
            <w:tcW w:w="1220" w:type="dxa"/>
          </w:tcPr>
          <w:p w:rsidR="00ED1409" w:rsidRPr="008F0AB5" w:rsidRDefault="00ED1409" w:rsidP="00ED1409">
            <w:pPr>
              <w:jc w:val="center"/>
              <w:rPr>
                <w:b/>
                <w:sz w:val="23"/>
                <w:szCs w:val="23"/>
              </w:rPr>
            </w:pPr>
            <w:r w:rsidRPr="008F0AB5">
              <w:rPr>
                <w:b/>
                <w:sz w:val="23"/>
                <w:szCs w:val="23"/>
              </w:rPr>
              <w:t>2014/15</w:t>
            </w:r>
          </w:p>
          <w:p w:rsidR="00ED1409" w:rsidRPr="008F0AB5" w:rsidRDefault="00ED1409" w:rsidP="00ED1409">
            <w:pPr>
              <w:jc w:val="center"/>
              <w:rPr>
                <w:b/>
                <w:sz w:val="23"/>
                <w:szCs w:val="23"/>
              </w:rPr>
            </w:pPr>
            <w:r w:rsidRPr="008F0AB5">
              <w:rPr>
                <w:b/>
                <w:sz w:val="23"/>
                <w:szCs w:val="23"/>
              </w:rPr>
              <w:t>£m</w:t>
            </w:r>
          </w:p>
        </w:tc>
        <w:tc>
          <w:tcPr>
            <w:tcW w:w="1048" w:type="dxa"/>
          </w:tcPr>
          <w:p w:rsidR="00ED1409" w:rsidRPr="008F0AB5" w:rsidRDefault="00ED1409" w:rsidP="00ED1409">
            <w:pPr>
              <w:jc w:val="center"/>
              <w:rPr>
                <w:b/>
                <w:sz w:val="23"/>
                <w:szCs w:val="23"/>
              </w:rPr>
            </w:pPr>
            <w:r w:rsidRPr="008F0AB5">
              <w:rPr>
                <w:b/>
                <w:sz w:val="23"/>
                <w:szCs w:val="23"/>
              </w:rPr>
              <w:t>2015/16</w:t>
            </w:r>
          </w:p>
          <w:p w:rsidR="00ED1409" w:rsidRPr="008F0AB5" w:rsidRDefault="00ED1409" w:rsidP="00ED1409">
            <w:pPr>
              <w:jc w:val="center"/>
              <w:rPr>
                <w:b/>
                <w:sz w:val="23"/>
                <w:szCs w:val="23"/>
              </w:rPr>
            </w:pPr>
            <w:r w:rsidRPr="008F0AB5">
              <w:rPr>
                <w:b/>
                <w:sz w:val="23"/>
                <w:szCs w:val="23"/>
              </w:rPr>
              <w:t>£m</w:t>
            </w:r>
          </w:p>
        </w:tc>
        <w:tc>
          <w:tcPr>
            <w:tcW w:w="1078" w:type="dxa"/>
          </w:tcPr>
          <w:p w:rsidR="00ED1409" w:rsidRPr="008F0AB5" w:rsidRDefault="00ED1409" w:rsidP="00ED1409">
            <w:pPr>
              <w:jc w:val="center"/>
              <w:rPr>
                <w:b/>
                <w:sz w:val="23"/>
                <w:szCs w:val="23"/>
              </w:rPr>
            </w:pPr>
            <w:r w:rsidRPr="008F0AB5">
              <w:rPr>
                <w:b/>
                <w:sz w:val="23"/>
                <w:szCs w:val="23"/>
              </w:rPr>
              <w:t>2016/17</w:t>
            </w:r>
          </w:p>
          <w:p w:rsidR="00ED1409" w:rsidRPr="008F0AB5" w:rsidRDefault="00ED1409" w:rsidP="00ED1409">
            <w:pPr>
              <w:jc w:val="center"/>
              <w:rPr>
                <w:b/>
                <w:sz w:val="23"/>
                <w:szCs w:val="23"/>
              </w:rPr>
            </w:pPr>
            <w:r w:rsidRPr="008F0AB5">
              <w:rPr>
                <w:b/>
                <w:sz w:val="23"/>
                <w:szCs w:val="23"/>
              </w:rPr>
              <w:t>£m</w:t>
            </w:r>
          </w:p>
        </w:tc>
        <w:tc>
          <w:tcPr>
            <w:tcW w:w="1048" w:type="dxa"/>
          </w:tcPr>
          <w:p w:rsidR="00ED1409" w:rsidRPr="008F0AB5" w:rsidRDefault="00ED1409" w:rsidP="00ED1409">
            <w:pPr>
              <w:jc w:val="center"/>
              <w:rPr>
                <w:b/>
                <w:sz w:val="23"/>
                <w:szCs w:val="23"/>
              </w:rPr>
            </w:pPr>
            <w:r w:rsidRPr="008F0AB5">
              <w:rPr>
                <w:b/>
                <w:sz w:val="23"/>
                <w:szCs w:val="23"/>
              </w:rPr>
              <w:t>2017/18</w:t>
            </w:r>
          </w:p>
          <w:p w:rsidR="00ED1409" w:rsidRPr="008F0AB5" w:rsidRDefault="00ED1409" w:rsidP="00ED1409">
            <w:pPr>
              <w:jc w:val="center"/>
              <w:rPr>
                <w:b/>
                <w:sz w:val="23"/>
                <w:szCs w:val="23"/>
              </w:rPr>
            </w:pPr>
            <w:r w:rsidRPr="008F0AB5">
              <w:rPr>
                <w:b/>
                <w:sz w:val="23"/>
                <w:szCs w:val="23"/>
              </w:rPr>
              <w:t>£m</w:t>
            </w:r>
          </w:p>
        </w:tc>
        <w:tc>
          <w:tcPr>
            <w:tcW w:w="1054" w:type="dxa"/>
          </w:tcPr>
          <w:p w:rsidR="00ED1409" w:rsidRPr="008F0AB5" w:rsidRDefault="00ED1409" w:rsidP="00ED1409">
            <w:pPr>
              <w:jc w:val="center"/>
              <w:rPr>
                <w:b/>
                <w:sz w:val="23"/>
                <w:szCs w:val="23"/>
              </w:rPr>
            </w:pPr>
            <w:r w:rsidRPr="008F0AB5">
              <w:rPr>
                <w:b/>
                <w:sz w:val="23"/>
                <w:szCs w:val="23"/>
              </w:rPr>
              <w:t>Total</w:t>
            </w:r>
          </w:p>
          <w:p w:rsidR="00ED1409" w:rsidRPr="008F0AB5" w:rsidRDefault="00ED1409" w:rsidP="00ED1409">
            <w:pPr>
              <w:jc w:val="center"/>
              <w:rPr>
                <w:b/>
                <w:sz w:val="23"/>
                <w:szCs w:val="23"/>
              </w:rPr>
            </w:pPr>
            <w:r w:rsidRPr="008F0AB5">
              <w:rPr>
                <w:b/>
                <w:sz w:val="23"/>
                <w:szCs w:val="23"/>
              </w:rPr>
              <w:t>£m</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220"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r>
              <w:rPr>
                <w:sz w:val="23"/>
                <w:szCs w:val="23"/>
              </w:rPr>
              <w:t>2.000</w:t>
            </w:r>
          </w:p>
        </w:tc>
        <w:tc>
          <w:tcPr>
            <w:tcW w:w="1078"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p>
        </w:tc>
        <w:tc>
          <w:tcPr>
            <w:tcW w:w="1054" w:type="dxa"/>
          </w:tcPr>
          <w:p w:rsidR="00ED1409" w:rsidRPr="008F0AB5" w:rsidRDefault="00ED1409" w:rsidP="00ED1409">
            <w:pPr>
              <w:jc w:val="right"/>
              <w:rPr>
                <w:sz w:val="23"/>
                <w:szCs w:val="23"/>
              </w:rPr>
            </w:pPr>
            <w:r>
              <w:rPr>
                <w:sz w:val="23"/>
                <w:szCs w:val="23"/>
              </w:rPr>
              <w:t>2.000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Recommissioning Telecare</w:t>
            </w:r>
          </w:p>
        </w:tc>
        <w:tc>
          <w:tcPr>
            <w:tcW w:w="1220" w:type="dxa"/>
          </w:tcPr>
          <w:p w:rsidR="00ED1409" w:rsidRPr="008F0AB5" w:rsidRDefault="00ED1409" w:rsidP="00ED1409">
            <w:pPr>
              <w:jc w:val="right"/>
              <w:rPr>
                <w:sz w:val="23"/>
                <w:szCs w:val="23"/>
              </w:rPr>
            </w:pPr>
          </w:p>
        </w:tc>
        <w:tc>
          <w:tcPr>
            <w:tcW w:w="1048" w:type="dxa"/>
          </w:tcPr>
          <w:p w:rsidR="00ED1409" w:rsidRPr="008F0AB5" w:rsidRDefault="00ED1409" w:rsidP="00ED1409">
            <w:pPr>
              <w:jc w:val="right"/>
              <w:rPr>
                <w:sz w:val="23"/>
                <w:szCs w:val="23"/>
              </w:rPr>
            </w:pPr>
            <w:r>
              <w:rPr>
                <w:sz w:val="23"/>
                <w:szCs w:val="23"/>
              </w:rPr>
              <w:t>0.500</w:t>
            </w:r>
          </w:p>
        </w:tc>
        <w:tc>
          <w:tcPr>
            <w:tcW w:w="1078" w:type="dxa"/>
          </w:tcPr>
          <w:p w:rsidR="00ED1409" w:rsidRPr="008F0AB5" w:rsidRDefault="00ED1409" w:rsidP="00ED1409">
            <w:pPr>
              <w:jc w:val="right"/>
              <w:rPr>
                <w:sz w:val="23"/>
                <w:szCs w:val="23"/>
              </w:rPr>
            </w:pPr>
            <w:r>
              <w:rPr>
                <w:sz w:val="23"/>
                <w:szCs w:val="23"/>
              </w:rPr>
              <w:t>1.000</w:t>
            </w:r>
          </w:p>
        </w:tc>
        <w:tc>
          <w:tcPr>
            <w:tcW w:w="1048" w:type="dxa"/>
          </w:tcPr>
          <w:p w:rsidR="00ED1409" w:rsidRPr="008F0AB5" w:rsidRDefault="00ED1409" w:rsidP="00ED1409">
            <w:pPr>
              <w:jc w:val="right"/>
              <w:rPr>
                <w:sz w:val="23"/>
                <w:szCs w:val="23"/>
              </w:rPr>
            </w:pPr>
            <w:r>
              <w:rPr>
                <w:sz w:val="23"/>
                <w:szCs w:val="23"/>
              </w:rPr>
              <w:t>2.500</w:t>
            </w:r>
          </w:p>
        </w:tc>
        <w:tc>
          <w:tcPr>
            <w:tcW w:w="1054" w:type="dxa"/>
          </w:tcPr>
          <w:p w:rsidR="00ED1409" w:rsidRPr="008F0AB5" w:rsidRDefault="00ED1409" w:rsidP="00ED1409">
            <w:pPr>
              <w:jc w:val="right"/>
              <w:rPr>
                <w:sz w:val="23"/>
                <w:szCs w:val="23"/>
              </w:rPr>
            </w:pPr>
            <w:r>
              <w:rPr>
                <w:sz w:val="23"/>
                <w:szCs w:val="23"/>
              </w:rPr>
              <w:t>4.000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Learning Disability Remodelling Supported Living</w:t>
            </w:r>
          </w:p>
        </w:tc>
        <w:tc>
          <w:tcPr>
            <w:tcW w:w="1220" w:type="dxa"/>
          </w:tcPr>
          <w:p w:rsidR="00ED1409" w:rsidRPr="008F0AB5" w:rsidRDefault="00ED1409" w:rsidP="00ED1409">
            <w:pPr>
              <w:jc w:val="right"/>
              <w:rPr>
                <w:sz w:val="23"/>
                <w:szCs w:val="23"/>
              </w:rPr>
            </w:pPr>
            <w:r>
              <w:rPr>
                <w:sz w:val="23"/>
                <w:szCs w:val="23"/>
              </w:rPr>
              <w:t>4.000</w:t>
            </w:r>
          </w:p>
        </w:tc>
        <w:tc>
          <w:tcPr>
            <w:tcW w:w="1048" w:type="dxa"/>
          </w:tcPr>
          <w:p w:rsidR="00ED1409" w:rsidRPr="008F0AB5" w:rsidRDefault="00ED1409" w:rsidP="00ED1409">
            <w:pPr>
              <w:jc w:val="right"/>
              <w:rPr>
                <w:sz w:val="23"/>
                <w:szCs w:val="23"/>
              </w:rPr>
            </w:pPr>
            <w:r>
              <w:rPr>
                <w:sz w:val="23"/>
                <w:szCs w:val="23"/>
              </w:rPr>
              <w:t>4.000</w:t>
            </w:r>
          </w:p>
        </w:tc>
        <w:tc>
          <w:tcPr>
            <w:tcW w:w="1078" w:type="dxa"/>
          </w:tcPr>
          <w:p w:rsidR="00ED1409" w:rsidRPr="008F0AB5" w:rsidRDefault="00ED1409" w:rsidP="00ED1409">
            <w:pPr>
              <w:jc w:val="right"/>
              <w:rPr>
                <w:sz w:val="23"/>
                <w:szCs w:val="23"/>
              </w:rPr>
            </w:pPr>
            <w:r>
              <w:rPr>
                <w:sz w:val="23"/>
                <w:szCs w:val="23"/>
              </w:rPr>
              <w:t>4.000</w:t>
            </w:r>
          </w:p>
        </w:tc>
        <w:tc>
          <w:tcPr>
            <w:tcW w:w="1048" w:type="dxa"/>
          </w:tcPr>
          <w:p w:rsidR="00ED1409" w:rsidRPr="008F0AB5" w:rsidRDefault="00ED1409" w:rsidP="00ED1409">
            <w:pPr>
              <w:jc w:val="right"/>
              <w:rPr>
                <w:sz w:val="23"/>
                <w:szCs w:val="23"/>
              </w:rPr>
            </w:pPr>
          </w:p>
        </w:tc>
        <w:tc>
          <w:tcPr>
            <w:tcW w:w="1054" w:type="dxa"/>
          </w:tcPr>
          <w:p w:rsidR="00ED1409" w:rsidRPr="008F0AB5" w:rsidRDefault="00ED1409" w:rsidP="00ED1409">
            <w:pPr>
              <w:jc w:val="right"/>
              <w:rPr>
                <w:sz w:val="23"/>
                <w:szCs w:val="23"/>
              </w:rPr>
            </w:pPr>
            <w:r>
              <w:rPr>
                <w:sz w:val="23"/>
                <w:szCs w:val="23"/>
              </w:rPr>
              <w:t>12.000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Recommissioning of Mental Health Services</w:t>
            </w:r>
          </w:p>
        </w:tc>
        <w:tc>
          <w:tcPr>
            <w:tcW w:w="1220" w:type="dxa"/>
          </w:tcPr>
          <w:p w:rsidR="00ED1409" w:rsidRPr="008F0AB5" w:rsidRDefault="00ED1409" w:rsidP="00ED1409">
            <w:pPr>
              <w:jc w:val="right"/>
              <w:rPr>
                <w:sz w:val="23"/>
                <w:szCs w:val="23"/>
              </w:rPr>
            </w:pPr>
            <w:r>
              <w:rPr>
                <w:sz w:val="23"/>
                <w:szCs w:val="23"/>
              </w:rPr>
              <w:t>0.060</w:t>
            </w:r>
          </w:p>
        </w:tc>
        <w:tc>
          <w:tcPr>
            <w:tcW w:w="1048" w:type="dxa"/>
          </w:tcPr>
          <w:p w:rsidR="00ED1409" w:rsidRPr="008F0AB5" w:rsidRDefault="00ED1409" w:rsidP="00ED1409">
            <w:pPr>
              <w:jc w:val="right"/>
              <w:rPr>
                <w:sz w:val="23"/>
                <w:szCs w:val="23"/>
              </w:rPr>
            </w:pPr>
            <w:r>
              <w:rPr>
                <w:sz w:val="23"/>
                <w:szCs w:val="23"/>
              </w:rPr>
              <w:t>0.970</w:t>
            </w:r>
          </w:p>
        </w:tc>
        <w:tc>
          <w:tcPr>
            <w:tcW w:w="1078" w:type="dxa"/>
          </w:tcPr>
          <w:p w:rsidR="00ED1409" w:rsidRPr="008F0AB5" w:rsidRDefault="00ED1409" w:rsidP="00ED1409">
            <w:pPr>
              <w:jc w:val="right"/>
              <w:rPr>
                <w:sz w:val="23"/>
                <w:szCs w:val="23"/>
              </w:rPr>
            </w:pPr>
            <w:r>
              <w:rPr>
                <w:sz w:val="23"/>
                <w:szCs w:val="23"/>
              </w:rPr>
              <w:t>0.160</w:t>
            </w:r>
          </w:p>
        </w:tc>
        <w:tc>
          <w:tcPr>
            <w:tcW w:w="1048" w:type="dxa"/>
          </w:tcPr>
          <w:p w:rsidR="00ED1409" w:rsidRPr="008F0AB5" w:rsidRDefault="00ED1409" w:rsidP="00ED1409">
            <w:pPr>
              <w:jc w:val="right"/>
              <w:rPr>
                <w:sz w:val="23"/>
                <w:szCs w:val="23"/>
              </w:rPr>
            </w:pPr>
            <w:r>
              <w:rPr>
                <w:sz w:val="23"/>
                <w:szCs w:val="23"/>
              </w:rPr>
              <w:t>0.160</w:t>
            </w:r>
          </w:p>
        </w:tc>
        <w:tc>
          <w:tcPr>
            <w:tcW w:w="1054" w:type="dxa"/>
          </w:tcPr>
          <w:p w:rsidR="00ED1409" w:rsidRPr="008F0AB5" w:rsidRDefault="00ED1409" w:rsidP="00ED1409">
            <w:pPr>
              <w:jc w:val="right"/>
              <w:rPr>
                <w:sz w:val="23"/>
                <w:szCs w:val="23"/>
              </w:rPr>
            </w:pPr>
            <w:r>
              <w:rPr>
                <w:sz w:val="23"/>
                <w:szCs w:val="23"/>
              </w:rPr>
              <w:t>1.350</w:t>
            </w:r>
          </w:p>
        </w:tc>
      </w:tr>
      <w:tr w:rsidR="00ED1409" w:rsidRPr="008F0AB5" w:rsidTr="00ED1409">
        <w:tc>
          <w:tcPr>
            <w:tcW w:w="3970" w:type="dxa"/>
          </w:tcPr>
          <w:p w:rsidR="00ED1409" w:rsidRPr="00ED1409" w:rsidRDefault="00ED1409" w:rsidP="00ED1409">
            <w:pPr>
              <w:jc w:val="both"/>
              <w:rPr>
                <w:rFonts w:cs="Arial"/>
                <w:color w:val="000000"/>
                <w:szCs w:val="24"/>
              </w:rPr>
            </w:pPr>
            <w:r>
              <w:rPr>
                <w:rFonts w:cs="Arial"/>
                <w:color w:val="000000"/>
              </w:rPr>
              <w:t>Integration of health and care services in Lancashire</w:t>
            </w:r>
          </w:p>
        </w:tc>
        <w:tc>
          <w:tcPr>
            <w:tcW w:w="1220" w:type="dxa"/>
          </w:tcPr>
          <w:p w:rsidR="00ED1409" w:rsidRPr="008F0AB5" w:rsidRDefault="00ED1409" w:rsidP="00ED1409">
            <w:pPr>
              <w:jc w:val="right"/>
              <w:rPr>
                <w:sz w:val="23"/>
                <w:szCs w:val="23"/>
              </w:rPr>
            </w:pPr>
            <w:r>
              <w:rPr>
                <w:sz w:val="23"/>
                <w:szCs w:val="23"/>
              </w:rPr>
              <w:t>1.000</w:t>
            </w:r>
          </w:p>
        </w:tc>
        <w:tc>
          <w:tcPr>
            <w:tcW w:w="1048" w:type="dxa"/>
          </w:tcPr>
          <w:p w:rsidR="00ED1409" w:rsidRPr="008F0AB5" w:rsidRDefault="00ED1409" w:rsidP="00ED1409">
            <w:pPr>
              <w:jc w:val="right"/>
              <w:rPr>
                <w:sz w:val="23"/>
                <w:szCs w:val="23"/>
              </w:rPr>
            </w:pPr>
            <w:r>
              <w:rPr>
                <w:sz w:val="23"/>
                <w:szCs w:val="23"/>
              </w:rPr>
              <w:t>1.900</w:t>
            </w:r>
          </w:p>
        </w:tc>
        <w:tc>
          <w:tcPr>
            <w:tcW w:w="1078" w:type="dxa"/>
          </w:tcPr>
          <w:p w:rsidR="00ED1409" w:rsidRPr="008F0AB5" w:rsidRDefault="00ED1409" w:rsidP="00ED1409">
            <w:pPr>
              <w:jc w:val="right"/>
              <w:rPr>
                <w:sz w:val="23"/>
                <w:szCs w:val="23"/>
              </w:rPr>
            </w:pPr>
            <w:r>
              <w:rPr>
                <w:sz w:val="23"/>
                <w:szCs w:val="23"/>
              </w:rPr>
              <w:t>3.800</w:t>
            </w:r>
          </w:p>
        </w:tc>
        <w:tc>
          <w:tcPr>
            <w:tcW w:w="1048" w:type="dxa"/>
          </w:tcPr>
          <w:p w:rsidR="00ED1409" w:rsidRPr="008F0AB5" w:rsidRDefault="00ED1409" w:rsidP="00ED1409">
            <w:pPr>
              <w:jc w:val="right"/>
              <w:rPr>
                <w:sz w:val="23"/>
                <w:szCs w:val="23"/>
              </w:rPr>
            </w:pPr>
            <w:r>
              <w:rPr>
                <w:sz w:val="23"/>
                <w:szCs w:val="23"/>
              </w:rPr>
              <w:t>4.300</w:t>
            </w:r>
          </w:p>
        </w:tc>
        <w:tc>
          <w:tcPr>
            <w:tcW w:w="1054" w:type="dxa"/>
          </w:tcPr>
          <w:p w:rsidR="00ED1409" w:rsidRPr="008F0AB5" w:rsidRDefault="00ED1409" w:rsidP="00ED1409">
            <w:pPr>
              <w:jc w:val="right"/>
              <w:rPr>
                <w:sz w:val="23"/>
                <w:szCs w:val="23"/>
              </w:rPr>
            </w:pPr>
            <w:r>
              <w:rPr>
                <w:sz w:val="23"/>
                <w:szCs w:val="23"/>
              </w:rPr>
              <w:t>11.000</w:t>
            </w:r>
          </w:p>
        </w:tc>
      </w:tr>
      <w:tr w:rsidR="00ED1409" w:rsidRPr="00A0434A" w:rsidTr="00ED1409">
        <w:tc>
          <w:tcPr>
            <w:tcW w:w="3970" w:type="dxa"/>
          </w:tcPr>
          <w:p w:rsidR="00ED1409" w:rsidRPr="00ED1409" w:rsidRDefault="00ED1409" w:rsidP="00ED1409">
            <w:pPr>
              <w:jc w:val="both"/>
              <w:rPr>
                <w:rFonts w:cs="Arial"/>
                <w:color w:val="000000"/>
                <w:szCs w:val="24"/>
              </w:rPr>
            </w:pPr>
            <w:r>
              <w:rPr>
                <w:rFonts w:cs="Arial"/>
                <w:color w:val="000000"/>
              </w:rPr>
              <w:t>Review of skills provision - using it differently and contributing to overheads</w:t>
            </w:r>
          </w:p>
        </w:tc>
        <w:tc>
          <w:tcPr>
            <w:tcW w:w="1220" w:type="dxa"/>
          </w:tcPr>
          <w:p w:rsidR="00ED1409" w:rsidRPr="00A0434A" w:rsidRDefault="00ED1409" w:rsidP="00ED1409">
            <w:pPr>
              <w:jc w:val="right"/>
              <w:rPr>
                <w:sz w:val="23"/>
                <w:szCs w:val="23"/>
              </w:rPr>
            </w:pPr>
            <w:r>
              <w:rPr>
                <w:sz w:val="23"/>
                <w:szCs w:val="23"/>
              </w:rPr>
              <w:t>0.500</w:t>
            </w:r>
          </w:p>
        </w:tc>
        <w:tc>
          <w:tcPr>
            <w:tcW w:w="1048" w:type="dxa"/>
          </w:tcPr>
          <w:p w:rsidR="00ED1409" w:rsidRPr="00A0434A" w:rsidRDefault="00ED1409" w:rsidP="00ED1409">
            <w:pPr>
              <w:jc w:val="right"/>
              <w:rPr>
                <w:sz w:val="23"/>
                <w:szCs w:val="23"/>
              </w:rPr>
            </w:pPr>
            <w:r>
              <w:rPr>
                <w:sz w:val="23"/>
                <w:szCs w:val="23"/>
              </w:rPr>
              <w:t>0.500</w:t>
            </w:r>
          </w:p>
        </w:tc>
        <w:tc>
          <w:tcPr>
            <w:tcW w:w="1078" w:type="dxa"/>
          </w:tcPr>
          <w:p w:rsidR="00ED1409" w:rsidRPr="00A0434A" w:rsidRDefault="00ED1409" w:rsidP="00ED1409">
            <w:pPr>
              <w:jc w:val="right"/>
              <w:rPr>
                <w:sz w:val="23"/>
                <w:szCs w:val="23"/>
              </w:rPr>
            </w:pPr>
            <w:r>
              <w:rPr>
                <w:sz w:val="23"/>
                <w:szCs w:val="23"/>
              </w:rPr>
              <w:t>1.000</w:t>
            </w:r>
          </w:p>
        </w:tc>
        <w:tc>
          <w:tcPr>
            <w:tcW w:w="1048" w:type="dxa"/>
          </w:tcPr>
          <w:p w:rsidR="00ED1409" w:rsidRPr="00A0434A" w:rsidRDefault="00ED1409" w:rsidP="00ED1409">
            <w:pPr>
              <w:jc w:val="right"/>
              <w:rPr>
                <w:sz w:val="23"/>
                <w:szCs w:val="23"/>
              </w:rPr>
            </w:pPr>
          </w:p>
        </w:tc>
        <w:tc>
          <w:tcPr>
            <w:tcW w:w="1054" w:type="dxa"/>
          </w:tcPr>
          <w:p w:rsidR="00ED1409" w:rsidRPr="00A0434A" w:rsidRDefault="00ED1409" w:rsidP="00ED1409">
            <w:pPr>
              <w:jc w:val="right"/>
              <w:rPr>
                <w:sz w:val="23"/>
                <w:szCs w:val="23"/>
              </w:rPr>
            </w:pPr>
            <w:r>
              <w:rPr>
                <w:sz w:val="23"/>
                <w:szCs w:val="23"/>
              </w:rPr>
              <w:t>2.000</w:t>
            </w:r>
          </w:p>
        </w:tc>
      </w:tr>
      <w:tr w:rsidR="00ED1409" w:rsidRPr="008F0AB5" w:rsidTr="00ED1409">
        <w:trPr>
          <w:trHeight w:val="373"/>
        </w:trPr>
        <w:tc>
          <w:tcPr>
            <w:tcW w:w="3970" w:type="dxa"/>
            <w:vAlign w:val="center"/>
          </w:tcPr>
          <w:p w:rsidR="00ED1409" w:rsidRPr="00ED1409" w:rsidRDefault="00ED1409" w:rsidP="00ED1409">
            <w:pPr>
              <w:rPr>
                <w:b/>
              </w:rPr>
            </w:pPr>
            <w:r>
              <w:rPr>
                <w:b/>
              </w:rPr>
              <w:t>Total Reshaping of Service Delivery</w:t>
            </w:r>
          </w:p>
        </w:tc>
        <w:tc>
          <w:tcPr>
            <w:tcW w:w="1220" w:type="dxa"/>
            <w:vAlign w:val="center"/>
          </w:tcPr>
          <w:p w:rsidR="00ED1409" w:rsidRPr="008F0AB5" w:rsidRDefault="00ED1409" w:rsidP="00ED1409">
            <w:pPr>
              <w:jc w:val="right"/>
              <w:rPr>
                <w:b/>
              </w:rPr>
            </w:pPr>
            <w:r>
              <w:rPr>
                <w:b/>
              </w:rPr>
              <w:t>5.560</w:t>
            </w:r>
          </w:p>
        </w:tc>
        <w:tc>
          <w:tcPr>
            <w:tcW w:w="1048" w:type="dxa"/>
            <w:vAlign w:val="center"/>
          </w:tcPr>
          <w:p w:rsidR="00ED1409" w:rsidRPr="008F0AB5" w:rsidRDefault="00ED1409" w:rsidP="00ED1409">
            <w:pPr>
              <w:jc w:val="right"/>
              <w:rPr>
                <w:b/>
              </w:rPr>
            </w:pPr>
            <w:r>
              <w:rPr>
                <w:b/>
              </w:rPr>
              <w:t>9.870</w:t>
            </w:r>
          </w:p>
        </w:tc>
        <w:tc>
          <w:tcPr>
            <w:tcW w:w="1078" w:type="dxa"/>
            <w:vAlign w:val="center"/>
          </w:tcPr>
          <w:p w:rsidR="00ED1409" w:rsidRPr="008F0AB5" w:rsidRDefault="00ED1409" w:rsidP="00ED1409">
            <w:pPr>
              <w:jc w:val="right"/>
              <w:rPr>
                <w:b/>
              </w:rPr>
            </w:pPr>
            <w:r>
              <w:rPr>
                <w:b/>
              </w:rPr>
              <w:t>9.960</w:t>
            </w:r>
          </w:p>
        </w:tc>
        <w:tc>
          <w:tcPr>
            <w:tcW w:w="1048" w:type="dxa"/>
            <w:vAlign w:val="center"/>
          </w:tcPr>
          <w:p w:rsidR="00ED1409" w:rsidRPr="008F0AB5" w:rsidRDefault="00ED1409" w:rsidP="00ED1409">
            <w:pPr>
              <w:jc w:val="right"/>
              <w:rPr>
                <w:b/>
              </w:rPr>
            </w:pPr>
            <w:r>
              <w:rPr>
                <w:b/>
              </w:rPr>
              <w:t>6.960</w:t>
            </w:r>
          </w:p>
        </w:tc>
        <w:tc>
          <w:tcPr>
            <w:tcW w:w="1054" w:type="dxa"/>
            <w:vAlign w:val="center"/>
          </w:tcPr>
          <w:p w:rsidR="00ED1409" w:rsidRPr="008F0AB5" w:rsidRDefault="00ED1409" w:rsidP="00ED1409">
            <w:pPr>
              <w:jc w:val="right"/>
              <w:rPr>
                <w:b/>
              </w:rPr>
            </w:pPr>
            <w:r>
              <w:rPr>
                <w:b/>
              </w:rPr>
              <w:t>32.350</w:t>
            </w:r>
          </w:p>
        </w:tc>
      </w:tr>
    </w:tbl>
    <w:p w:rsidR="00DE1265" w:rsidRDefault="00DE1265" w:rsidP="005F0BE6">
      <w:pPr>
        <w:jc w:val="both"/>
      </w:pPr>
    </w:p>
    <w:p w:rsidR="002D44C9" w:rsidRDefault="005065BB" w:rsidP="005F0BE6">
      <w:pPr>
        <w:jc w:val="both"/>
      </w:pPr>
      <w:r>
        <w:t xml:space="preserve">A summary of the proposals </w:t>
      </w:r>
      <w:r w:rsidR="00807A08">
        <w:t>which impact on</w:t>
      </w:r>
      <w:r>
        <w:t xml:space="preserve"> services by Directorate is given belo</w:t>
      </w:r>
      <w:r w:rsidR="00673ED4">
        <w:t>w:</w:t>
      </w:r>
    </w:p>
    <w:tbl>
      <w:tblPr>
        <w:tblW w:w="5095" w:type="pct"/>
        <w:tblInd w:w="-176" w:type="dxa"/>
        <w:tblLayout w:type="fixed"/>
        <w:tblLook w:val="04A0" w:firstRow="1" w:lastRow="0" w:firstColumn="1" w:lastColumn="0" w:noHBand="0" w:noVBand="1"/>
      </w:tblPr>
      <w:tblGrid>
        <w:gridCol w:w="4083"/>
        <w:gridCol w:w="1125"/>
        <w:gridCol w:w="1125"/>
        <w:gridCol w:w="1083"/>
        <w:gridCol w:w="1030"/>
        <w:gridCol w:w="972"/>
      </w:tblGrid>
      <w:tr w:rsidR="00673ED4" w:rsidRPr="00673ED4" w:rsidTr="00572A38">
        <w:trPr>
          <w:trHeight w:val="90"/>
        </w:trPr>
        <w:tc>
          <w:tcPr>
            <w:tcW w:w="2168"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673ED4">
            <w:pPr>
              <w:spacing w:after="0"/>
              <w:rPr>
                <w:rFonts w:cs="Arial"/>
                <w:b/>
                <w:color w:val="000000"/>
              </w:rPr>
            </w:pPr>
            <w:r w:rsidRPr="00673ED4">
              <w:rPr>
                <w:rFonts w:cs="Arial"/>
                <w:b/>
                <w:color w:val="000000"/>
                <w:sz w:val="22"/>
              </w:rPr>
              <w:t>Policy Option</w:t>
            </w:r>
          </w:p>
        </w:tc>
        <w:tc>
          <w:tcPr>
            <w:tcW w:w="597"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2014/15      </w:t>
            </w:r>
          </w:p>
        </w:tc>
        <w:tc>
          <w:tcPr>
            <w:tcW w:w="597"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2015/16      </w:t>
            </w:r>
          </w:p>
        </w:tc>
        <w:tc>
          <w:tcPr>
            <w:tcW w:w="575"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2016/17      </w:t>
            </w:r>
          </w:p>
        </w:tc>
        <w:tc>
          <w:tcPr>
            <w:tcW w:w="547"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2017/18      </w:t>
            </w:r>
          </w:p>
        </w:tc>
        <w:tc>
          <w:tcPr>
            <w:tcW w:w="516"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Total           </w:t>
            </w:r>
          </w:p>
        </w:tc>
      </w:tr>
      <w:tr w:rsidR="00673ED4" w:rsidRPr="00673ED4" w:rsidTr="00572A38">
        <w:trPr>
          <w:trHeight w:val="90"/>
        </w:trPr>
        <w:tc>
          <w:tcPr>
            <w:tcW w:w="2168" w:type="pct"/>
            <w:tcBorders>
              <w:top w:val="nil"/>
              <w:left w:val="single" w:sz="4" w:space="0" w:color="auto"/>
              <w:bottom w:val="nil"/>
              <w:right w:val="nil"/>
            </w:tcBorders>
            <w:shd w:val="clear" w:color="auto" w:fill="auto"/>
            <w:vAlign w:val="bottom"/>
            <w:hideMark/>
          </w:tcPr>
          <w:p w:rsidR="00673ED4" w:rsidRPr="00673ED4" w:rsidRDefault="00673ED4" w:rsidP="00673ED4">
            <w:pPr>
              <w:spacing w:after="0"/>
              <w:rPr>
                <w:rFonts w:cs="Arial"/>
                <w:color w:val="000000"/>
              </w:rPr>
            </w:pPr>
          </w:p>
        </w:tc>
        <w:tc>
          <w:tcPr>
            <w:tcW w:w="597"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97"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75"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47"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16" w:type="pct"/>
            <w:tcBorders>
              <w:top w:val="nil"/>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r>
      <w:tr w:rsidR="00673ED4" w:rsidRPr="00673ED4" w:rsidTr="00572A38">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673ED4">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Supporting People</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3.000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4.000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Fairer Charging</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1.250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2.750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Review and re-design of residential substance misuse services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Arts Development service</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Leisure Link (providing additional respite to Unpaid Carers)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0.275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0.275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Remodelling workforce in former NHS operated learning disability (LD) supported living schemes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3.430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4.330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Older people day time support</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Self Directed Supports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0.550 </w:t>
            </w:r>
          </w:p>
        </w:tc>
      </w:tr>
      <w:tr w:rsidR="00673ED4" w:rsidRPr="00673ED4" w:rsidTr="00572A38">
        <w:trPr>
          <w:trHeight w:val="315"/>
        </w:trPr>
        <w:tc>
          <w:tcPr>
            <w:tcW w:w="2168"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6.625 </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5.700 </w:t>
            </w:r>
          </w:p>
        </w:tc>
        <w:tc>
          <w:tcPr>
            <w:tcW w:w="57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0.950 </w:t>
            </w:r>
          </w:p>
        </w:tc>
        <w:tc>
          <w:tcPr>
            <w:tcW w:w="54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c>
          <w:tcPr>
            <w:tcW w:w="51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13.425 </w:t>
            </w:r>
          </w:p>
        </w:tc>
      </w:tr>
      <w:tr w:rsidR="00673ED4" w:rsidRPr="00673ED4" w:rsidTr="00572A38">
        <w:trPr>
          <w:trHeight w:val="90"/>
        </w:trPr>
        <w:tc>
          <w:tcPr>
            <w:tcW w:w="2168" w:type="pct"/>
            <w:tcBorders>
              <w:top w:val="nil"/>
              <w:left w:val="nil"/>
              <w:bottom w:val="nil"/>
              <w:right w:val="nil"/>
            </w:tcBorders>
            <w:shd w:val="clear" w:color="auto" w:fill="auto"/>
            <w:hideMark/>
          </w:tcPr>
          <w:p w:rsidR="00673ED4" w:rsidRPr="00673ED4" w:rsidRDefault="00673ED4" w:rsidP="00673ED4">
            <w:pPr>
              <w:rPr>
                <w:rFonts w:cs="Arial"/>
                <w:color w:val="000000"/>
              </w:rPr>
            </w:pPr>
          </w:p>
        </w:tc>
        <w:tc>
          <w:tcPr>
            <w:tcW w:w="597"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97"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75"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47"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16" w:type="pct"/>
            <w:tcBorders>
              <w:top w:val="nil"/>
              <w:left w:val="nil"/>
              <w:bottom w:val="nil"/>
            </w:tcBorders>
            <w:shd w:val="clear" w:color="auto" w:fill="auto"/>
            <w:noWrap/>
            <w:hideMark/>
          </w:tcPr>
          <w:p w:rsidR="00673ED4" w:rsidRPr="00673ED4" w:rsidRDefault="00673ED4" w:rsidP="00673ED4">
            <w:pPr>
              <w:jc w:val="right"/>
              <w:rPr>
                <w:rFonts w:cs="Arial"/>
                <w:b/>
                <w:bCs/>
                <w:color w:val="000000"/>
              </w:rPr>
            </w:pPr>
          </w:p>
        </w:tc>
      </w:tr>
      <w:tr w:rsidR="00673ED4" w:rsidRPr="00673ED4" w:rsidTr="00572A38">
        <w:trPr>
          <w:trHeight w:val="90"/>
        </w:trPr>
        <w:tc>
          <w:tcPr>
            <w:tcW w:w="2168"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lastRenderedPageBreak/>
              <w:t> </w:t>
            </w: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7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4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1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72A38">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Children and Young Peoples Directorate</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Youth Services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1.400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3.000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Discretionary Mainstream Home to School Transport (including unsuitable routes)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0.616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0.482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0.041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1.159 </w:t>
            </w:r>
          </w:p>
        </w:tc>
      </w:tr>
      <w:tr w:rsidR="00673ED4" w:rsidRPr="00673ED4" w:rsidTr="00572A38">
        <w:trPr>
          <w:trHeight w:val="630"/>
        </w:trPr>
        <w:tc>
          <w:tcPr>
            <w:tcW w:w="2168"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Parent participation and engagement for children and young people with Special Educational Needs and Disability (SEND) and their families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0.078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Charging for post 16 Special Educational Needs and Disabilities (SEND) transport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0.280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CYP traded services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0.063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0.063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Lancashire Outdoor Education Provision</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0.039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0.068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0.157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Quality &amp; Continuous Improvement - Lancashire Schools Effectiveness Service (QCI-LSES) services provided to schools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0.119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0.232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school attendance responsibilities.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0.099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0.031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0.195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Virtual School Review</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0.250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Early Years services and responsibilities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1.507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1.451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2.958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Improve efficiency of Adoption Service</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0.117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0.117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Increase efficiency in Fostering Service</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572A38">
        <w:trPr>
          <w:trHeight w:val="630"/>
        </w:trPr>
        <w:tc>
          <w:tcPr>
            <w:tcW w:w="2168"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2.800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0.861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3.661 </w:t>
            </w:r>
          </w:p>
        </w:tc>
      </w:tr>
      <w:tr w:rsidR="00673ED4" w:rsidRPr="00673ED4" w:rsidTr="00572A38">
        <w:trPr>
          <w:trHeight w:val="315"/>
        </w:trPr>
        <w:tc>
          <w:tcPr>
            <w:tcW w:w="2168"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Right-size Children's Trust Budget</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72A38">
        <w:trPr>
          <w:trHeight w:val="315"/>
        </w:trPr>
        <w:tc>
          <w:tcPr>
            <w:tcW w:w="2168"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6.499 </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4.176 </w:t>
            </w:r>
          </w:p>
        </w:tc>
        <w:tc>
          <w:tcPr>
            <w:tcW w:w="57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1.706 </w:t>
            </w:r>
          </w:p>
        </w:tc>
        <w:tc>
          <w:tcPr>
            <w:tcW w:w="54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c>
          <w:tcPr>
            <w:tcW w:w="51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12.401 </w:t>
            </w:r>
          </w:p>
        </w:tc>
      </w:tr>
      <w:tr w:rsidR="00673ED4" w:rsidRPr="00673ED4" w:rsidTr="00572A38">
        <w:trPr>
          <w:trHeight w:val="90"/>
        </w:trPr>
        <w:tc>
          <w:tcPr>
            <w:tcW w:w="2168"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7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4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1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72A38">
        <w:trPr>
          <w:trHeight w:val="120"/>
        </w:trPr>
        <w:tc>
          <w:tcPr>
            <w:tcW w:w="2168" w:type="pct"/>
            <w:tcBorders>
              <w:top w:val="single" w:sz="4" w:space="0" w:color="auto"/>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Environment Directorate</w:t>
            </w:r>
          </w:p>
        </w:tc>
        <w:tc>
          <w:tcPr>
            <w:tcW w:w="59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9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7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4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16"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Street Lighting Energy</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0.170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0.230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Highway infrastructure sponsorship</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Members priority contingency</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0.042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0.220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Targeted Parking Enforcement</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0.050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0.118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0.612</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0.730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Public Rights of Way &amp; Countryside  Service Reductions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0.094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0.454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0.548 </w:t>
            </w:r>
          </w:p>
        </w:tc>
      </w:tr>
      <w:tr w:rsidR="00673ED4" w:rsidRPr="00673ED4" w:rsidTr="00572A38">
        <w:trPr>
          <w:trHeight w:val="315"/>
        </w:trPr>
        <w:tc>
          <w:tcPr>
            <w:tcW w:w="2168" w:type="pct"/>
            <w:tcBorders>
              <w:top w:val="nil"/>
              <w:left w:val="single" w:sz="4" w:space="0" w:color="auto"/>
              <w:bottom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Winter Service</w:t>
            </w: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0.447 </w:t>
            </w: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single" w:sz="4" w:space="0" w:color="auto"/>
              <w:right w:val="single" w:sz="4" w:space="0" w:color="auto"/>
            </w:tcBorders>
            <w:shd w:val="clear" w:color="auto" w:fill="auto"/>
            <w:noWrap/>
            <w:hideMark/>
          </w:tcPr>
          <w:p w:rsidR="00572A38" w:rsidRDefault="00673ED4" w:rsidP="00673ED4">
            <w:pPr>
              <w:spacing w:after="0"/>
              <w:jc w:val="right"/>
              <w:rPr>
                <w:rFonts w:cs="Arial"/>
                <w:b/>
                <w:bCs/>
                <w:color w:val="000000"/>
                <w:sz w:val="22"/>
              </w:rPr>
            </w:pPr>
            <w:r w:rsidRPr="00673ED4">
              <w:rPr>
                <w:rFonts w:cs="Arial"/>
                <w:b/>
                <w:bCs/>
                <w:color w:val="000000"/>
                <w:sz w:val="22"/>
              </w:rPr>
              <w:t>0.447</w:t>
            </w:r>
          </w:p>
          <w:p w:rsidR="00673ED4" w:rsidRPr="00673ED4" w:rsidRDefault="00673ED4" w:rsidP="00673ED4">
            <w:pPr>
              <w:spacing w:after="0"/>
              <w:jc w:val="right"/>
              <w:rPr>
                <w:rFonts w:cs="Arial"/>
                <w:b/>
                <w:bCs/>
                <w:color w:val="000000"/>
              </w:rPr>
            </w:pPr>
            <w:r w:rsidRPr="00673ED4">
              <w:rPr>
                <w:rFonts w:cs="Arial"/>
                <w:b/>
                <w:bCs/>
                <w:color w:val="000000"/>
                <w:sz w:val="22"/>
              </w:rPr>
              <w:t xml:space="preserve"> </w:t>
            </w:r>
          </w:p>
        </w:tc>
      </w:tr>
      <w:tr w:rsidR="00673ED4" w:rsidRPr="00673ED4" w:rsidTr="00572A38">
        <w:trPr>
          <w:trHeight w:val="315"/>
        </w:trPr>
        <w:tc>
          <w:tcPr>
            <w:tcW w:w="2168" w:type="pct"/>
            <w:tcBorders>
              <w:top w:val="single" w:sz="4" w:space="0" w:color="auto"/>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lastRenderedPageBreak/>
              <w:t>Close waste transfer stations and landfill sites on bank holidays</w:t>
            </w:r>
          </w:p>
        </w:tc>
        <w:tc>
          <w:tcPr>
            <w:tcW w:w="59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7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Sustainable Drainage Consenting &amp; Enforcement</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Joint Production of Local Transport Plan</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Withdrawal of Adult Cycle Training</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0.014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0.006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0.035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Safer Travel Unit training</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0.018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0.024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0.062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Business Travel Planning</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0.003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0.017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Speed management provision</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0.040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Operational Learning and Development within Highways Services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0.065 </w:t>
            </w:r>
          </w:p>
        </w:tc>
      </w:tr>
      <w:tr w:rsidR="00673ED4" w:rsidRPr="00673ED4" w:rsidTr="00572A38">
        <w:trPr>
          <w:trHeight w:val="315"/>
        </w:trPr>
        <w:tc>
          <w:tcPr>
            <w:tcW w:w="2168"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New Traffic Systems Maintenance Contract</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Transfer of Parking Services front line call handling into Parking Services</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0.075 </w:t>
            </w:r>
          </w:p>
        </w:tc>
      </w:tr>
      <w:tr w:rsidR="00673ED4" w:rsidRPr="00673ED4" w:rsidTr="00572A38">
        <w:trPr>
          <w:trHeight w:val="315"/>
        </w:trPr>
        <w:tc>
          <w:tcPr>
            <w:tcW w:w="2168"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District/Parish Public Realm Agreements  - Highway - Green Space maintenance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0.144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0.137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0.123 </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0.404 </w:t>
            </w:r>
          </w:p>
        </w:tc>
      </w:tr>
      <w:tr w:rsidR="00673ED4" w:rsidRPr="00673ED4" w:rsidTr="00572A38">
        <w:trPr>
          <w:trHeight w:val="315"/>
        </w:trPr>
        <w:tc>
          <w:tcPr>
            <w:tcW w:w="2168"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Bus Shelter Maintenance</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59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0.010 </w:t>
            </w:r>
          </w:p>
        </w:tc>
        <w:tc>
          <w:tcPr>
            <w:tcW w:w="57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572A38">
        <w:trPr>
          <w:trHeight w:val="382"/>
        </w:trPr>
        <w:tc>
          <w:tcPr>
            <w:tcW w:w="2168" w:type="pct"/>
            <w:tcBorders>
              <w:top w:val="nil"/>
              <w:left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Vehicle and associated checks carried out on subsidised services</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572A38">
        <w:trPr>
          <w:trHeight w:val="315"/>
        </w:trPr>
        <w:tc>
          <w:tcPr>
            <w:tcW w:w="2168"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1.580 </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0.536 </w:t>
            </w:r>
          </w:p>
        </w:tc>
        <w:tc>
          <w:tcPr>
            <w:tcW w:w="57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1.540 </w:t>
            </w:r>
          </w:p>
        </w:tc>
        <w:tc>
          <w:tcPr>
            <w:tcW w:w="54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1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3.656 </w:t>
            </w:r>
          </w:p>
        </w:tc>
      </w:tr>
      <w:tr w:rsidR="00673ED4" w:rsidRPr="00673ED4" w:rsidTr="00572A38">
        <w:trPr>
          <w:trHeight w:val="90"/>
        </w:trPr>
        <w:tc>
          <w:tcPr>
            <w:tcW w:w="2168"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 </w:t>
            </w: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7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47"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16"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572A38">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Services within the Office of the Chief Executive </w:t>
            </w:r>
          </w:p>
        </w:tc>
      </w:tr>
      <w:tr w:rsidR="00673ED4" w:rsidRPr="00673ED4" w:rsidTr="00572A38">
        <w:trPr>
          <w:trHeight w:val="315"/>
        </w:trPr>
        <w:tc>
          <w:tcPr>
            <w:tcW w:w="2168"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Voluntary, Community and Faith Sector (VCFS) Grants</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59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7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47"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16"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72A38">
        <w:trPr>
          <w:trHeight w:val="315"/>
        </w:trPr>
        <w:tc>
          <w:tcPr>
            <w:tcW w:w="2168"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c>
          <w:tcPr>
            <w:tcW w:w="59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7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47"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16"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572A38">
        <w:trPr>
          <w:trHeight w:val="120"/>
        </w:trPr>
        <w:tc>
          <w:tcPr>
            <w:tcW w:w="2168" w:type="pct"/>
            <w:tcBorders>
              <w:top w:val="nil"/>
              <w:left w:val="nil"/>
              <w:bottom w:val="single" w:sz="12" w:space="0" w:color="auto"/>
              <w:right w:val="nil"/>
            </w:tcBorders>
            <w:shd w:val="clear" w:color="auto" w:fill="auto"/>
            <w:vAlign w:val="bottom"/>
            <w:hideMark/>
          </w:tcPr>
          <w:p w:rsidR="00673ED4" w:rsidRPr="00673ED4" w:rsidRDefault="00673ED4" w:rsidP="00673ED4">
            <w:pPr>
              <w:spacing w:after="0"/>
              <w:rPr>
                <w:rFonts w:cs="Arial"/>
                <w:color w:val="000000"/>
              </w:rPr>
            </w:pPr>
          </w:p>
        </w:tc>
        <w:tc>
          <w:tcPr>
            <w:tcW w:w="597"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97"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75"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47"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16"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b/>
                <w:bCs/>
                <w:color w:val="000000"/>
              </w:rPr>
            </w:pPr>
          </w:p>
        </w:tc>
      </w:tr>
      <w:tr w:rsidR="00673ED4" w:rsidRPr="00673ED4" w:rsidTr="00572A38">
        <w:trPr>
          <w:trHeight w:val="611"/>
        </w:trPr>
        <w:tc>
          <w:tcPr>
            <w:tcW w:w="2168"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673ED4">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597"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15.204 </w:t>
            </w:r>
          </w:p>
        </w:tc>
        <w:tc>
          <w:tcPr>
            <w:tcW w:w="597"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10.412 </w:t>
            </w:r>
          </w:p>
        </w:tc>
        <w:tc>
          <w:tcPr>
            <w:tcW w:w="575"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4.196 </w:t>
            </w:r>
          </w:p>
        </w:tc>
        <w:tc>
          <w:tcPr>
            <w:tcW w:w="547"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0.170 </w:t>
            </w:r>
          </w:p>
        </w:tc>
        <w:tc>
          <w:tcPr>
            <w:tcW w:w="516"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29.982 </w:t>
            </w:r>
          </w:p>
        </w:tc>
      </w:tr>
    </w:tbl>
    <w:p w:rsidR="00673ED4" w:rsidRDefault="00673ED4" w:rsidP="005F0BE6">
      <w:pPr>
        <w:jc w:val="both"/>
      </w:pPr>
    </w:p>
    <w:p w:rsidR="00572A38" w:rsidRDefault="00572A38" w:rsidP="005F0BE6">
      <w:pPr>
        <w:jc w:val="both"/>
      </w:pPr>
    </w:p>
    <w:p w:rsidR="00697D9F" w:rsidRDefault="00697D9F" w:rsidP="00697D9F">
      <w:pPr>
        <w:pStyle w:val="ListParagraph"/>
        <w:numPr>
          <w:ilvl w:val="1"/>
          <w:numId w:val="1"/>
        </w:numPr>
        <w:jc w:val="both"/>
      </w:pPr>
      <w:r w:rsidRPr="00697D9F">
        <w:rPr>
          <w:i/>
        </w:rPr>
        <w:t>The Impact of the Proposals Currently Being Consulted On</w:t>
      </w:r>
    </w:p>
    <w:p w:rsidR="00697D9F" w:rsidRDefault="00697D9F" w:rsidP="00697D9F">
      <w:pPr>
        <w:jc w:val="both"/>
      </w:pPr>
      <w:r>
        <w:t>When taken together the impact of the proposals identified to date on the forecast budget gap is as follows:</w:t>
      </w:r>
    </w:p>
    <w:p w:rsidR="00546EA6" w:rsidRDefault="00546EA6">
      <w:r>
        <w:br w:type="page"/>
      </w:r>
    </w:p>
    <w:tbl>
      <w:tblPr>
        <w:tblStyle w:val="TableGrid"/>
        <w:tblW w:w="0" w:type="auto"/>
        <w:tblInd w:w="250" w:type="dxa"/>
        <w:tblBorders>
          <w:bottom w:val="none" w:sz="0" w:space="0" w:color="auto"/>
        </w:tblBorders>
        <w:tblLook w:val="04A0" w:firstRow="1" w:lastRow="0" w:firstColumn="1" w:lastColumn="0" w:noHBand="0" w:noVBand="1"/>
      </w:tblPr>
      <w:tblGrid>
        <w:gridCol w:w="3063"/>
        <w:gridCol w:w="1217"/>
        <w:gridCol w:w="1173"/>
        <w:gridCol w:w="1174"/>
        <w:gridCol w:w="1173"/>
        <w:gridCol w:w="1174"/>
      </w:tblGrid>
      <w:tr w:rsidR="00697D9F" w:rsidRPr="008F0AB5" w:rsidTr="00CD5671">
        <w:tc>
          <w:tcPr>
            <w:tcW w:w="3063" w:type="dxa"/>
            <w:tcBorders>
              <w:bottom w:val="single" w:sz="4" w:space="0" w:color="auto"/>
            </w:tcBorders>
          </w:tcPr>
          <w:p w:rsidR="00697D9F" w:rsidRPr="008F0AB5" w:rsidRDefault="00697D9F" w:rsidP="00697D9F">
            <w:pPr>
              <w:jc w:val="center"/>
              <w:rPr>
                <w:b/>
                <w:sz w:val="23"/>
                <w:szCs w:val="23"/>
              </w:rPr>
            </w:pPr>
          </w:p>
        </w:tc>
        <w:tc>
          <w:tcPr>
            <w:tcW w:w="1217" w:type="dxa"/>
            <w:tcBorders>
              <w:bottom w:val="single" w:sz="4" w:space="0" w:color="auto"/>
            </w:tcBorders>
          </w:tcPr>
          <w:p w:rsidR="00697D9F" w:rsidRPr="008F0AB5" w:rsidRDefault="00697D9F" w:rsidP="00697D9F">
            <w:pPr>
              <w:jc w:val="center"/>
              <w:rPr>
                <w:b/>
                <w:sz w:val="23"/>
                <w:szCs w:val="23"/>
              </w:rPr>
            </w:pPr>
            <w:r w:rsidRPr="008F0AB5">
              <w:rPr>
                <w:b/>
                <w:sz w:val="23"/>
                <w:szCs w:val="23"/>
              </w:rPr>
              <w:t>2014/15</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2015/16</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2016/17</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2017/18</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Total</w:t>
            </w:r>
          </w:p>
          <w:p w:rsidR="00697D9F" w:rsidRPr="008F0AB5" w:rsidRDefault="00697D9F" w:rsidP="00697D9F">
            <w:pPr>
              <w:jc w:val="center"/>
              <w:rPr>
                <w:b/>
                <w:sz w:val="23"/>
                <w:szCs w:val="23"/>
              </w:rPr>
            </w:pPr>
            <w:r w:rsidRPr="008F0AB5">
              <w:rPr>
                <w:b/>
                <w:sz w:val="23"/>
                <w:szCs w:val="23"/>
              </w:rPr>
              <w:t>£m</w:t>
            </w:r>
          </w:p>
        </w:tc>
      </w:tr>
      <w:tr w:rsidR="00697D9F" w:rsidRPr="00546EA6" w:rsidTr="00546EA6">
        <w:tc>
          <w:tcPr>
            <w:tcW w:w="3063" w:type="dxa"/>
            <w:tcBorders>
              <w:bottom w:val="single" w:sz="4" w:space="0" w:color="auto"/>
            </w:tcBorders>
          </w:tcPr>
          <w:p w:rsidR="00697D9F" w:rsidRPr="00546EA6" w:rsidRDefault="00697D9F" w:rsidP="00697D9F">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697D9F">
            <w:pPr>
              <w:jc w:val="right"/>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300.000</w:t>
            </w:r>
          </w:p>
        </w:tc>
      </w:tr>
      <w:tr w:rsidR="00697D9F" w:rsidRPr="008F0AB5" w:rsidTr="00546EA6">
        <w:tc>
          <w:tcPr>
            <w:tcW w:w="3063" w:type="dxa"/>
            <w:tcBorders>
              <w:bottom w:val="nil"/>
            </w:tcBorders>
          </w:tcPr>
          <w:p w:rsidR="00697D9F" w:rsidRDefault="00697D9F" w:rsidP="00697D9F">
            <w:pPr>
              <w:rPr>
                <w:sz w:val="23"/>
                <w:szCs w:val="23"/>
              </w:rPr>
            </w:pPr>
          </w:p>
        </w:tc>
        <w:tc>
          <w:tcPr>
            <w:tcW w:w="1217"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r>
      <w:tr w:rsidR="00697D9F" w:rsidRPr="008F0AB5" w:rsidTr="00546EA6">
        <w:tc>
          <w:tcPr>
            <w:tcW w:w="3063" w:type="dxa"/>
            <w:tcBorders>
              <w:top w:val="nil"/>
              <w:bottom w:val="nil"/>
            </w:tcBorders>
          </w:tcPr>
          <w:p w:rsidR="00697D9F" w:rsidRPr="00546EA6" w:rsidRDefault="00697D9F" w:rsidP="00697D9F">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Review of Costs</w:t>
            </w:r>
          </w:p>
        </w:tc>
        <w:tc>
          <w:tcPr>
            <w:tcW w:w="1217" w:type="dxa"/>
            <w:tcBorders>
              <w:top w:val="nil"/>
              <w:bottom w:val="nil"/>
            </w:tcBorders>
            <w:vAlign w:val="center"/>
          </w:tcPr>
          <w:p w:rsidR="00CD5671" w:rsidRPr="00CD5671" w:rsidRDefault="0065407E" w:rsidP="00BE53C2">
            <w:pPr>
              <w:jc w:val="right"/>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16.671</w:t>
            </w: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697D9F">
            <w:pPr>
              <w:jc w:val="right"/>
              <w:rPr>
                <w:sz w:val="23"/>
                <w:szCs w:val="23"/>
              </w:rPr>
            </w:pPr>
          </w:p>
        </w:tc>
        <w:tc>
          <w:tcPr>
            <w:tcW w:w="1173" w:type="dxa"/>
            <w:tcBorders>
              <w:top w:val="nil"/>
              <w:bottom w:val="nil"/>
            </w:tcBorders>
          </w:tcPr>
          <w:p w:rsidR="00CD5671" w:rsidRPr="00CD5671" w:rsidRDefault="00CD5671" w:rsidP="00697D9F">
            <w:pPr>
              <w:jc w:val="right"/>
              <w:rPr>
                <w:sz w:val="23"/>
                <w:szCs w:val="23"/>
              </w:rPr>
            </w:pPr>
          </w:p>
        </w:tc>
        <w:tc>
          <w:tcPr>
            <w:tcW w:w="1174" w:type="dxa"/>
            <w:tcBorders>
              <w:top w:val="nil"/>
              <w:bottom w:val="nil"/>
            </w:tcBorders>
          </w:tcPr>
          <w:p w:rsidR="00CD5671" w:rsidRPr="00CD5671" w:rsidRDefault="00CD5671" w:rsidP="00697D9F">
            <w:pPr>
              <w:jc w:val="right"/>
              <w:rPr>
                <w:sz w:val="23"/>
                <w:szCs w:val="23"/>
              </w:rPr>
            </w:pPr>
            <w:r w:rsidRPr="00CD5671">
              <w:rPr>
                <w:bCs/>
                <w:color w:val="000000"/>
                <w:sz w:val="23"/>
                <w:szCs w:val="23"/>
              </w:rPr>
              <w:t>19.081</w:t>
            </w: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17.366</w:t>
            </w: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32.350</w:t>
            </w: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CD5671">
            <w:pPr>
              <w:jc w:val="right"/>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697D9F">
            <w:pPr>
              <w:jc w:val="right"/>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CD5671">
            <w:pPr>
              <w:jc w:val="right"/>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29.982</w:t>
            </w:r>
          </w:p>
        </w:tc>
      </w:tr>
      <w:tr w:rsidR="00CD5671" w:rsidRPr="008F0AB5" w:rsidTr="00546EA6">
        <w:tc>
          <w:tcPr>
            <w:tcW w:w="3063" w:type="dxa"/>
            <w:tcBorders>
              <w:top w:val="nil"/>
              <w:bottom w:val="nil"/>
            </w:tcBorders>
          </w:tcPr>
          <w:p w:rsidR="00CD5671" w:rsidRDefault="00CD5671" w:rsidP="00697D9F">
            <w:pPr>
              <w:rPr>
                <w:sz w:val="23"/>
                <w:szCs w:val="23"/>
              </w:rPr>
            </w:pPr>
            <w:r>
              <w:rPr>
                <w:sz w:val="23"/>
                <w:szCs w:val="23"/>
              </w:rPr>
              <w:t>Total Savings Identified</w:t>
            </w:r>
          </w:p>
        </w:tc>
        <w:tc>
          <w:tcPr>
            <w:tcW w:w="1217" w:type="dxa"/>
            <w:tcBorders>
              <w:top w:val="nil"/>
              <w:bottom w:val="nil"/>
            </w:tcBorders>
          </w:tcPr>
          <w:p w:rsidR="00CD5671" w:rsidRPr="00CD5671" w:rsidRDefault="00CD5671" w:rsidP="00697D9F">
            <w:pPr>
              <w:jc w:val="right"/>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697D9F">
            <w:pPr>
              <w:jc w:val="right"/>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697D9F">
            <w:pPr>
              <w:jc w:val="right"/>
              <w:rPr>
                <w:sz w:val="23"/>
                <w:szCs w:val="23"/>
              </w:rPr>
            </w:pPr>
            <w:r>
              <w:rPr>
                <w:sz w:val="23"/>
                <w:szCs w:val="23"/>
              </w:rPr>
              <w:t>20.144</w:t>
            </w:r>
          </w:p>
        </w:tc>
        <w:tc>
          <w:tcPr>
            <w:tcW w:w="1173" w:type="dxa"/>
            <w:tcBorders>
              <w:top w:val="nil"/>
              <w:bottom w:val="nil"/>
            </w:tcBorders>
          </w:tcPr>
          <w:p w:rsidR="00CD5671" w:rsidRPr="00CD5671" w:rsidRDefault="00CD5671" w:rsidP="00697D9F">
            <w:pPr>
              <w:jc w:val="right"/>
              <w:rPr>
                <w:sz w:val="23"/>
                <w:szCs w:val="23"/>
              </w:rPr>
            </w:pPr>
            <w:r>
              <w:rPr>
                <w:sz w:val="23"/>
                <w:szCs w:val="23"/>
              </w:rPr>
              <w:t>17.472</w:t>
            </w:r>
          </w:p>
        </w:tc>
        <w:tc>
          <w:tcPr>
            <w:tcW w:w="1174" w:type="dxa"/>
            <w:tcBorders>
              <w:top w:val="nil"/>
              <w:bottom w:val="nil"/>
            </w:tcBorders>
          </w:tcPr>
          <w:p w:rsidR="00CD5671" w:rsidRPr="00CD5671" w:rsidRDefault="00CD5671" w:rsidP="00CD5671">
            <w:pPr>
              <w:jc w:val="right"/>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46EA6">
        <w:tc>
          <w:tcPr>
            <w:tcW w:w="3063" w:type="dxa"/>
            <w:tcBorders>
              <w:top w:val="nil"/>
            </w:tcBorders>
          </w:tcPr>
          <w:p w:rsidR="00CD5671" w:rsidRDefault="00CD5671" w:rsidP="00697D9F">
            <w:pPr>
              <w:rPr>
                <w:sz w:val="23"/>
                <w:szCs w:val="23"/>
              </w:rPr>
            </w:pPr>
          </w:p>
        </w:tc>
        <w:tc>
          <w:tcPr>
            <w:tcW w:w="1217"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r>
      <w:tr w:rsidR="00CD5671" w:rsidRPr="00546EA6" w:rsidTr="00CD5671">
        <w:tc>
          <w:tcPr>
            <w:tcW w:w="3063" w:type="dxa"/>
            <w:tcBorders>
              <w:bottom w:val="single" w:sz="4" w:space="0" w:color="auto"/>
            </w:tcBorders>
          </w:tcPr>
          <w:p w:rsidR="00CD5671" w:rsidRPr="00546EA6" w:rsidRDefault="00CD5671" w:rsidP="00697D9F">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697D9F">
            <w:pPr>
              <w:jc w:val="right"/>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697D9F">
            <w:pPr>
              <w:jc w:val="right"/>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CD5671">
            <w:pPr>
              <w:jc w:val="right"/>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184.550</w:t>
            </w:r>
          </w:p>
        </w:tc>
      </w:tr>
    </w:tbl>
    <w:p w:rsidR="00697D9F" w:rsidRDefault="00697D9F" w:rsidP="00697D9F">
      <w:pPr>
        <w:jc w:val="both"/>
      </w:pPr>
    </w:p>
    <w:p w:rsidR="0052541A" w:rsidRDefault="0052541A" w:rsidP="00DE1265">
      <w:pPr>
        <w:spacing w:after="0"/>
        <w:jc w:val="both"/>
      </w:pPr>
      <w:r>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DE1265" w:rsidRDefault="00DE1265" w:rsidP="00DE1265">
      <w:pPr>
        <w:spacing w:after="0"/>
        <w:jc w:val="both"/>
      </w:pPr>
    </w:p>
    <w:p w:rsidR="0052541A" w:rsidRDefault="0052541A" w:rsidP="00DE1265">
      <w:pPr>
        <w:pStyle w:val="ListParagraph"/>
        <w:numPr>
          <w:ilvl w:val="0"/>
          <w:numId w:val="1"/>
        </w:numPr>
        <w:spacing w:after="0"/>
        <w:ind w:left="0"/>
        <w:jc w:val="both"/>
        <w:rPr>
          <w:b/>
        </w:rPr>
      </w:pPr>
      <w:r>
        <w:rPr>
          <w:b/>
        </w:rPr>
        <w:t>Moving Forward From Here</w:t>
      </w:r>
    </w:p>
    <w:p w:rsidR="00DE1265" w:rsidRPr="00DE1265" w:rsidRDefault="00DE1265" w:rsidP="00DE1265">
      <w:pPr>
        <w:spacing w:after="0"/>
        <w:jc w:val="both"/>
        <w:rPr>
          <w:b/>
        </w:rPr>
      </w:pPr>
    </w:p>
    <w:p w:rsidR="0052541A" w:rsidRDefault="0052541A" w:rsidP="00DE1265">
      <w:pPr>
        <w:spacing w:after="0"/>
        <w:jc w:val="both"/>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£640m by 2017/18.</w:t>
      </w:r>
    </w:p>
    <w:p w:rsidR="00B30F40" w:rsidRDefault="00B30F40" w:rsidP="00DE1265">
      <w:pPr>
        <w:pStyle w:val="Body1"/>
        <w:rPr>
          <w:rFonts w:ascii="Arial" w:hAnsi="Arial" w:cs="Arial"/>
        </w:rPr>
      </w:pPr>
    </w:p>
    <w:p w:rsidR="00B30F40" w:rsidRDefault="00B30F40" w:rsidP="00DE1265">
      <w:pPr>
        <w:pStyle w:val="Body1"/>
        <w:rPr>
          <w:rFonts w:ascii="Arial" w:hAnsi="Arial" w:cs="Arial"/>
        </w:rPr>
      </w:pP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DE1265">
      <w:pPr>
        <w:pStyle w:val="Body1"/>
        <w:rPr>
          <w:rFonts w:ascii="Arial" w:hAnsi="Arial" w:cs="Arial"/>
        </w:rPr>
      </w:pPr>
    </w:p>
    <w:p w:rsidR="00B30F40" w:rsidRDefault="00B30F40" w:rsidP="00DE1265">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£642m by 2017/18. Reshaping public services across Lancashire will require innovative thinking and leadership to secure effective services for our communities and ensure a sustainable future.</w:t>
      </w:r>
    </w:p>
    <w:p w:rsidR="00572A38" w:rsidRDefault="00572A38" w:rsidP="00DE1265">
      <w:pPr>
        <w:spacing w:after="0"/>
        <w:jc w:val="both"/>
      </w:pPr>
    </w:p>
    <w:p w:rsidR="00B30F40" w:rsidRDefault="009324C8" w:rsidP="00DE1265">
      <w:pPr>
        <w:spacing w:after="0"/>
        <w:jc w:val="both"/>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w:t>
      </w:r>
      <w:r>
        <w:rPr>
          <w:rFonts w:cs="Arial"/>
        </w:rPr>
        <w:lastRenderedPageBreak/>
        <w:t xml:space="preserve">Council's organisation and services </w:t>
      </w:r>
      <w:r w:rsidRPr="002C0B99">
        <w:rPr>
          <w:rFonts w:cs="Arial"/>
        </w:rPr>
        <w:t>to secure effective services for our communities and ensure a sustainable future.</w:t>
      </w:r>
    </w:p>
    <w:p w:rsidR="009324C8" w:rsidRDefault="009324C8" w:rsidP="0052541A">
      <w:pPr>
        <w:jc w:val="both"/>
      </w:pPr>
    </w:p>
    <w:p w:rsidR="00E11C42" w:rsidRPr="00386F15" w:rsidRDefault="00386F15" w:rsidP="00DE1265">
      <w:pPr>
        <w:pStyle w:val="ListParagraph"/>
        <w:numPr>
          <w:ilvl w:val="0"/>
          <w:numId w:val="1"/>
        </w:numPr>
        <w:spacing w:after="0"/>
        <w:ind w:left="0"/>
        <w:jc w:val="both"/>
        <w:rPr>
          <w:b/>
        </w:rPr>
      </w:pPr>
      <w:r>
        <w:rPr>
          <w:b/>
        </w:rPr>
        <w:t>Conclusion</w:t>
      </w:r>
    </w:p>
    <w:p w:rsidR="00386F15" w:rsidRDefault="00386F15" w:rsidP="00DE1265">
      <w:pPr>
        <w:spacing w:after="0"/>
        <w:jc w:val="both"/>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386F15">
      <w:pPr>
        <w:jc w:val="both"/>
      </w:pPr>
    </w:p>
    <w:p w:rsidR="00386F15" w:rsidRDefault="00386F15" w:rsidP="00386F15">
      <w:pPr>
        <w:jc w:val="both"/>
      </w:pPr>
      <w:r>
        <w:t xml:space="preserve">Gill Kilpatrick </w:t>
      </w:r>
    </w:p>
    <w:p w:rsidR="00386F15" w:rsidRDefault="00386F15" w:rsidP="00386F15">
      <w:pPr>
        <w:jc w:val="both"/>
      </w:pPr>
      <w:r>
        <w:t>County Treasurer</w:t>
      </w:r>
    </w:p>
    <w:p w:rsidR="00386F15" w:rsidRPr="00386F15" w:rsidRDefault="00386F15" w:rsidP="00386F15">
      <w:pPr>
        <w:jc w:val="both"/>
      </w:pPr>
      <w:r>
        <w:t xml:space="preserve">November 2013 </w:t>
      </w:r>
    </w:p>
    <w:p w:rsidR="00E11C42" w:rsidRDefault="00E11C42"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r>
        <w:t>Further information regarding the County Councils 2014/15 budget proposals, as presented to the Cabinet on the 7</w:t>
      </w:r>
      <w:r w:rsidRPr="00C65E8B">
        <w:rPr>
          <w:vertAlign w:val="superscript"/>
        </w:rPr>
        <w:t>th</w:t>
      </w:r>
      <w:r>
        <w:t xml:space="preserve"> November,</w:t>
      </w:r>
      <w:bookmarkStart w:id="0" w:name="_GoBack"/>
      <w:bookmarkEnd w:id="0"/>
      <w:r>
        <w:t xml:space="preserve"> 2013, can be viewed at </w:t>
      </w:r>
      <w:hyperlink r:id="rId9" w:history="1">
        <w:r w:rsidRPr="00D736F2">
          <w:rPr>
            <w:rStyle w:val="Hyperlink"/>
          </w:rPr>
          <w:t>http://council.lancashire.gov.uk/ieListDoc</w:t>
        </w:r>
        <w:r w:rsidRPr="00D736F2">
          <w:rPr>
            <w:rStyle w:val="Hyperlink"/>
          </w:rPr>
          <w:t>u</w:t>
        </w:r>
        <w:r w:rsidRPr="00D736F2">
          <w:rPr>
            <w:rStyle w:val="Hyperlink"/>
          </w:rPr>
          <w:t>ments.aspx?CId=122&amp;MId=1900&amp;Ver=4</w:t>
        </w:r>
      </w:hyperlink>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Default="00C65E8B" w:rsidP="0052541A">
      <w:pPr>
        <w:jc w:val="both"/>
      </w:pPr>
    </w:p>
    <w:p w:rsidR="00C65E8B" w:rsidRPr="0052541A" w:rsidRDefault="00C65E8B" w:rsidP="0052541A">
      <w:pPr>
        <w:jc w:val="both"/>
      </w:pPr>
    </w:p>
    <w:sectPr w:rsidR="00C65E8B" w:rsidRPr="0052541A" w:rsidSect="00C50B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jc w:val="center"/>
    </w:pPr>
  </w:p>
  <w:p w:rsidR="00546EA6" w:rsidRDefault="0054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4B634C7F"/>
    <w:multiLevelType w:val="hybridMultilevel"/>
    <w:tmpl w:val="EDFC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9079FD"/>
    <w:multiLevelType w:val="hybridMultilevel"/>
    <w:tmpl w:val="56683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4">
    <w:nsid w:val="61071B4C"/>
    <w:multiLevelType w:val="hybridMultilevel"/>
    <w:tmpl w:val="EAA2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7">
    <w:nsid w:val="74EC4390"/>
    <w:multiLevelType w:val="hybridMultilevel"/>
    <w:tmpl w:val="4CF84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7"/>
    <w:rsid w:val="00004489"/>
    <w:rsid w:val="00082634"/>
    <w:rsid w:val="000D2156"/>
    <w:rsid w:val="00267CAE"/>
    <w:rsid w:val="002D44C9"/>
    <w:rsid w:val="003337CC"/>
    <w:rsid w:val="00347417"/>
    <w:rsid w:val="00354FE2"/>
    <w:rsid w:val="00386F15"/>
    <w:rsid w:val="003D758D"/>
    <w:rsid w:val="00410E1E"/>
    <w:rsid w:val="004716F8"/>
    <w:rsid w:val="00485180"/>
    <w:rsid w:val="004E3182"/>
    <w:rsid w:val="004F0715"/>
    <w:rsid w:val="005065BB"/>
    <w:rsid w:val="0052541A"/>
    <w:rsid w:val="005306AE"/>
    <w:rsid w:val="00546EA6"/>
    <w:rsid w:val="00572A38"/>
    <w:rsid w:val="005F0BE6"/>
    <w:rsid w:val="0065407E"/>
    <w:rsid w:val="00673ED4"/>
    <w:rsid w:val="00697D9F"/>
    <w:rsid w:val="006D662B"/>
    <w:rsid w:val="00804047"/>
    <w:rsid w:val="00807A08"/>
    <w:rsid w:val="008315C2"/>
    <w:rsid w:val="00861E10"/>
    <w:rsid w:val="008921A0"/>
    <w:rsid w:val="008A53AC"/>
    <w:rsid w:val="009324C8"/>
    <w:rsid w:val="009B328C"/>
    <w:rsid w:val="00A2343A"/>
    <w:rsid w:val="00A6582A"/>
    <w:rsid w:val="00AA739E"/>
    <w:rsid w:val="00B30F40"/>
    <w:rsid w:val="00B4555B"/>
    <w:rsid w:val="00B86B3B"/>
    <w:rsid w:val="00BC7944"/>
    <w:rsid w:val="00BE6085"/>
    <w:rsid w:val="00C21C22"/>
    <w:rsid w:val="00C50BD4"/>
    <w:rsid w:val="00C65E8B"/>
    <w:rsid w:val="00CD5671"/>
    <w:rsid w:val="00DD786B"/>
    <w:rsid w:val="00DE1265"/>
    <w:rsid w:val="00E11C42"/>
    <w:rsid w:val="00EC7C87"/>
    <w:rsid w:val="00ED1409"/>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C65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C65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uncil.lancashire.gov.uk/ieListDocuments.aspx?CId=122&amp;MId=190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C052-8FAB-49F4-85ED-A1E75193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5</cp:revision>
  <dcterms:created xsi:type="dcterms:W3CDTF">2013-11-08T14:20:00Z</dcterms:created>
  <dcterms:modified xsi:type="dcterms:W3CDTF">2013-11-11T08:25:00Z</dcterms:modified>
</cp:coreProperties>
</file>